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FC476" w14:textId="195BA3A3" w:rsidR="00BA10ED" w:rsidRDefault="004866BE" w:rsidP="007A1A00">
      <w:pPr>
        <w:pStyle w:val="VDate"/>
        <w:spacing w:line="276" w:lineRule="auto"/>
      </w:pPr>
      <w:r>
        <w:rPr>
          <w:noProof/>
        </w:rPr>
        <mc:AlternateContent>
          <mc:Choice Requires="wps">
            <w:drawing>
              <wp:anchor distT="0" distB="0" distL="114300" distR="114300" simplePos="0" relativeHeight="251662336" behindDoc="0" locked="0" layoutInCell="1" allowOverlap="1" wp14:anchorId="6BA159DC" wp14:editId="093805BF">
                <wp:simplePos x="0" y="0"/>
                <wp:positionH relativeFrom="page">
                  <wp:align>left</wp:align>
                </wp:positionH>
                <wp:positionV relativeFrom="page">
                  <wp:posOffset>918210</wp:posOffset>
                </wp:positionV>
                <wp:extent cx="5910580" cy="537210"/>
                <wp:effectExtent l="0" t="0" r="13970" b="0"/>
                <wp:wrapNone/>
                <wp:docPr id="459658493" name="Zone de texte 1"/>
                <wp:cNvGraphicFramePr/>
                <a:graphic xmlns:a="http://schemas.openxmlformats.org/drawingml/2006/main">
                  <a:graphicData uri="http://schemas.microsoft.com/office/word/2010/wordprocessingShape">
                    <wps:wsp>
                      <wps:cNvSpPr txBox="1"/>
                      <wps:spPr>
                        <a:xfrm>
                          <a:off x="0" y="0"/>
                          <a:ext cx="5910580" cy="537210"/>
                        </a:xfrm>
                        <a:prstGeom prst="rect">
                          <a:avLst/>
                        </a:prstGeom>
                        <a:noFill/>
                        <a:ln w="6350">
                          <a:noFill/>
                        </a:ln>
                      </wps:spPr>
                      <wps:txbx>
                        <w:txbxContent>
                          <w:tbl>
                            <w:tblPr>
                              <w:tblStyle w:val="Grilledutableau"/>
                              <w:tblW w:w="1134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4990"/>
                              <w:gridCol w:w="6351"/>
                            </w:tblGrid>
                            <w:tr w:rsidR="004866BE" w14:paraId="191646AE" w14:textId="77777777" w:rsidTr="008E3FA2">
                              <w:trPr>
                                <w:cantSplit/>
                                <w:trHeight w:hRule="exact" w:val="510"/>
                              </w:trPr>
                              <w:tc>
                                <w:tcPr>
                                  <w:tcW w:w="4990" w:type="dxa"/>
                                  <w:shd w:val="clear" w:color="auto" w:fill="004489" w:themeFill="text2"/>
                                  <w:vAlign w:val="center"/>
                                </w:tcPr>
                                <w:p w14:paraId="7A5652BE" w14:textId="77777777" w:rsidR="004866BE" w:rsidRPr="00E05452" w:rsidRDefault="004866BE" w:rsidP="008E3FA2">
                                  <w:pPr>
                                    <w:pStyle w:val="En-tte"/>
                                    <w:ind w:left="624"/>
                                    <w:rPr>
                                      <w:rFonts w:ascii="Vinci Sans Expanded Medium" w:hAnsi="Vinci Sans Expanded Medium"/>
                                      <w:color w:val="FFFFFF" w:themeColor="background1"/>
                                      <w:sz w:val="28"/>
                                      <w:szCs w:val="28"/>
                                    </w:rPr>
                                  </w:pPr>
                                  <w:r w:rsidRPr="00E05452">
                                    <w:rPr>
                                      <w:rFonts w:ascii="Vinci Sans Expanded Medium" w:hAnsi="Vinci Sans Expanded Medium"/>
                                      <w:color w:val="FFFFFF" w:themeColor="background1"/>
                                      <w:sz w:val="28"/>
                                      <w:szCs w:val="28"/>
                                    </w:rPr>
                                    <w:t>COMMUNIQUÉ DE PRESSE</w:t>
                                  </w:r>
                                </w:p>
                              </w:tc>
                              <w:tc>
                                <w:tcPr>
                                  <w:tcW w:w="6351" w:type="dxa"/>
                                  <w:vAlign w:val="center"/>
                                </w:tcPr>
                                <w:p w14:paraId="5CB14E50" w14:textId="77777777" w:rsidR="004866BE" w:rsidRDefault="004866BE" w:rsidP="008E3FA2">
                                  <w:pPr>
                                    <w:pStyle w:val="En-tte"/>
                                    <w:jc w:val="right"/>
                                  </w:pPr>
                                </w:p>
                              </w:tc>
                            </w:tr>
                          </w:tbl>
                          <w:p w14:paraId="06A23F1B" w14:textId="77777777" w:rsidR="004866BE" w:rsidRDefault="004866BE" w:rsidP="004866BE"/>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A159DC" id="_x0000_t202" coordsize="21600,21600" o:spt="202" path="m,l,21600r21600,l21600,xe">
                <v:stroke joinstyle="miter"/>
                <v:path gradientshapeok="t" o:connecttype="rect"/>
              </v:shapetype>
              <v:shape id="Zone de texte 1" o:spid="_x0000_s1026" type="#_x0000_t202" style="position:absolute;left:0;text-align:left;margin-left:0;margin-top:72.3pt;width:465.4pt;height:42.3pt;z-index:251662336;visibility:visible;mso-wrap-style:non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" filled="f" stroked="f" strokeweight=".5pt">
                <v:textbox style="mso-fit-shape-to-text:t" inset="0,0,0,0">
                  <w:txbxContent>
                    <w:tbl>
                      <w:tblPr>
                        <w:tblStyle w:val="Grilledutableau"/>
                        <w:tblW w:w="1134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4990"/>
                        <w:gridCol w:w="6351"/>
                      </w:tblGrid>
                      <w:tr w:rsidR="004866BE" w14:paraId="191646AE" w14:textId="77777777" w:rsidTr="008E3FA2">
                        <w:trPr>
                          <w:cantSplit/>
                          <w:trHeight w:hRule="exact" w:val="510"/>
                        </w:trPr>
                        <w:tc>
                          <w:tcPr>
                            <w:tcW w:w="4990" w:type="dxa"/>
                            <w:shd w:val="clear" w:color="auto" w:fill="004489" w:themeFill="text2"/>
                            <w:vAlign w:val="center"/>
                          </w:tcPr>
                          <w:p w14:paraId="7A5652BE" w14:textId="77777777" w:rsidR="004866BE" w:rsidRPr="00E05452" w:rsidRDefault="004866BE" w:rsidP="008E3FA2">
                            <w:pPr>
                              <w:pStyle w:val="En-tte"/>
                              <w:ind w:left="624"/>
                              <w:rPr>
                                <w:rFonts w:ascii="Vinci Sans Expanded Medium" w:hAnsi="Vinci Sans Expanded Medium"/>
                                <w:color w:val="FFFFFF" w:themeColor="background1"/>
                                <w:sz w:val="28"/>
                                <w:szCs w:val="28"/>
                              </w:rPr>
                            </w:pPr>
                            <w:r w:rsidRPr="00E05452">
                              <w:rPr>
                                <w:rFonts w:ascii="Vinci Sans Expanded Medium" w:hAnsi="Vinci Sans Expanded Medium"/>
                                <w:color w:val="FFFFFF" w:themeColor="background1"/>
                                <w:sz w:val="28"/>
                                <w:szCs w:val="28"/>
                              </w:rPr>
                              <w:t>COMMUNIQUÉ DE PRESSE</w:t>
                            </w:r>
                          </w:p>
                        </w:tc>
                        <w:tc>
                          <w:tcPr>
                            <w:tcW w:w="6351" w:type="dxa"/>
                            <w:vAlign w:val="center"/>
                          </w:tcPr>
                          <w:p w14:paraId="5CB14E50" w14:textId="77777777" w:rsidR="004866BE" w:rsidRDefault="004866BE" w:rsidP="008E3FA2">
                            <w:pPr>
                              <w:pStyle w:val="En-tte"/>
                              <w:jc w:val="right"/>
                            </w:pPr>
                          </w:p>
                        </w:tc>
                      </w:tr>
                    </w:tbl>
                    <w:p w14:paraId="06A23F1B" w14:textId="77777777" w:rsidR="004866BE" w:rsidRDefault="004866BE" w:rsidP="004866BE"/>
                  </w:txbxContent>
                </v:textbox>
                <w10:wrap anchorx="page" anchory="page"/>
              </v:shape>
            </w:pict>
          </mc:Fallback>
        </mc:AlternateContent>
      </w:r>
    </w:p>
    <w:p w14:paraId="0CE1077E" w14:textId="241DCD72" w:rsidR="004022B4" w:rsidRPr="00840982" w:rsidRDefault="00EB38C2" w:rsidP="007A1A00">
      <w:pPr>
        <w:pStyle w:val="VDate"/>
        <w:spacing w:line="276" w:lineRule="auto"/>
      </w:pPr>
      <w:r>
        <w:t xml:space="preserve">Nanterre, </w:t>
      </w:r>
      <w:r w:rsidR="00F60CA5">
        <w:t xml:space="preserve">le </w:t>
      </w:r>
      <w:r w:rsidR="006D1D4F">
        <w:t>10</w:t>
      </w:r>
      <w:r w:rsidR="00957324">
        <w:t xml:space="preserve"> juillet 2023</w:t>
      </w:r>
    </w:p>
    <w:p w14:paraId="7DC86F21" w14:textId="36DB8EDF" w:rsidR="00717F84" w:rsidRDefault="00717F84" w:rsidP="00096CED">
      <w:pPr>
        <w:pStyle w:val="VTitre"/>
        <w:spacing w:before="0" w:after="0"/>
      </w:pPr>
    </w:p>
    <w:p w14:paraId="283EB5E5" w14:textId="77777777" w:rsidR="00717F84" w:rsidRDefault="00717F84" w:rsidP="00096CED">
      <w:pPr>
        <w:pStyle w:val="VTitre"/>
        <w:spacing w:before="0" w:after="0"/>
      </w:pPr>
    </w:p>
    <w:p w14:paraId="2FE92439" w14:textId="4CA27E6C" w:rsidR="00610BC1" w:rsidRDefault="00952ECF" w:rsidP="00AC4A7E">
      <w:pPr>
        <w:pStyle w:val="VTitre"/>
        <w:spacing w:before="0" w:after="0"/>
      </w:pPr>
      <w:r>
        <w:t>VINCI Immobilier</w:t>
      </w:r>
      <w:r w:rsidR="00AC4A7E">
        <w:t xml:space="preserve"> et Brownfields</w:t>
      </w:r>
      <w:r>
        <w:t xml:space="preserve"> livre</w:t>
      </w:r>
      <w:r w:rsidR="00AC4A7E">
        <w:t>nt</w:t>
      </w:r>
      <w:r>
        <w:t xml:space="preserve"> </w:t>
      </w:r>
      <w:r w:rsidR="00096CED">
        <w:t>une résidence intergénérationnelle à Fécamp</w:t>
      </w:r>
      <w:r w:rsidR="00AC4A7E">
        <w:t xml:space="preserve"> (76)</w:t>
      </w:r>
    </w:p>
    <w:p w14:paraId="7E3F953B" w14:textId="77777777" w:rsidR="00B55E90" w:rsidRPr="00B55E90" w:rsidRDefault="00B55E90" w:rsidP="00D16612">
      <w:pPr>
        <w:ind w:left="681"/>
      </w:pPr>
    </w:p>
    <w:p w14:paraId="60BB19B6" w14:textId="06585EB0" w:rsidR="00134061" w:rsidRDefault="00C54C39" w:rsidP="00D16612">
      <w:pPr>
        <w:pStyle w:val="VPuce"/>
        <w:ind w:left="908"/>
      </w:pPr>
      <w:r>
        <w:t>89 logements sociaux</w:t>
      </w:r>
      <w:r w:rsidR="00B55E90">
        <w:t xml:space="preserve"> </w:t>
      </w:r>
    </w:p>
    <w:p w14:paraId="1874827D" w14:textId="5DEA5908" w:rsidR="00F30CEC" w:rsidRDefault="00F30CEC" w:rsidP="00D16612">
      <w:pPr>
        <w:pStyle w:val="VPuce"/>
        <w:ind w:left="908"/>
      </w:pPr>
      <w:r>
        <w:t>Programme de recyclage urbain</w:t>
      </w:r>
    </w:p>
    <w:p w14:paraId="1CE77744" w14:textId="65E8CF66" w:rsidR="00134061" w:rsidRDefault="005D153C" w:rsidP="00D16612">
      <w:pPr>
        <w:pStyle w:val="VPuce"/>
        <w:ind w:left="908"/>
      </w:pPr>
      <w:r>
        <w:rPr>
          <w:noProof/>
        </w:rPr>
        <w:drawing>
          <wp:anchor distT="0" distB="0" distL="114300" distR="114300" simplePos="0" relativeHeight="251660288" behindDoc="0" locked="0" layoutInCell="1" allowOverlap="1" wp14:anchorId="5377FD77" wp14:editId="4E72926B">
            <wp:simplePos x="0" y="0"/>
            <wp:positionH relativeFrom="margin">
              <wp:align>center</wp:align>
            </wp:positionH>
            <wp:positionV relativeFrom="margin">
              <wp:posOffset>2291080</wp:posOffset>
            </wp:positionV>
            <wp:extent cx="5551805" cy="2728595"/>
            <wp:effectExtent l="0" t="0" r="0" b="0"/>
            <wp:wrapSquare wrapText="bothSides"/>
            <wp:docPr id="2" name="Image 2" descr="Une image contenant plein air, ciel, architectur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lein air, ciel, architecture, bâtiment&#10;&#10;Description générée automatiquement"/>
                    <pic:cNvPicPr/>
                  </pic:nvPicPr>
                  <pic:blipFill>
                    <a:blip r:embed="rId11"/>
                    <a:stretch>
                      <a:fillRect/>
                    </a:stretch>
                  </pic:blipFill>
                  <pic:spPr>
                    <a:xfrm>
                      <a:off x="0" y="0"/>
                      <a:ext cx="5551805" cy="2728595"/>
                    </a:xfrm>
                    <a:prstGeom prst="rect">
                      <a:avLst/>
                    </a:prstGeom>
                  </pic:spPr>
                </pic:pic>
              </a:graphicData>
            </a:graphic>
            <wp14:sizeRelH relativeFrom="margin">
              <wp14:pctWidth>0</wp14:pctWidth>
            </wp14:sizeRelH>
            <wp14:sizeRelV relativeFrom="margin">
              <wp14:pctHeight>0</wp14:pctHeight>
            </wp14:sizeRelV>
          </wp:anchor>
        </w:drawing>
      </w:r>
      <w:r w:rsidR="006C6F7A">
        <w:t>Première opération livrée</w:t>
      </w:r>
      <w:r w:rsidR="00733EAA">
        <w:t xml:space="preserve"> </w:t>
      </w:r>
      <w:r w:rsidR="00F30CEC">
        <w:t>issue</w:t>
      </w:r>
      <w:r w:rsidR="00AA16DF">
        <w:t xml:space="preserve"> </w:t>
      </w:r>
      <w:r w:rsidR="00AA16DF" w:rsidRPr="00AA16DF">
        <w:t>d</w:t>
      </w:r>
      <w:r w:rsidR="00196F75">
        <w:t>u</w:t>
      </w:r>
      <w:r w:rsidR="00AA16DF" w:rsidRPr="00AA16DF">
        <w:t xml:space="preserve"> portefeuille foncier</w:t>
      </w:r>
      <w:r w:rsidR="00F30CEC">
        <w:t xml:space="preserve"> ENGIE,</w:t>
      </w:r>
      <w:r w:rsidR="00AA16DF" w:rsidRPr="00AA16DF">
        <w:t xml:space="preserve"> composé d’une cinquantaine de sites pollués, répartis sur toute la France métropolitaine</w:t>
      </w:r>
    </w:p>
    <w:p w14:paraId="7B51DC9B" w14:textId="5B54F932" w:rsidR="00232496" w:rsidRPr="00270F2E" w:rsidRDefault="00270F2E" w:rsidP="00270F2E">
      <w:pPr>
        <w:pStyle w:val="VPuce"/>
        <w:numPr>
          <w:ilvl w:val="0"/>
          <w:numId w:val="0"/>
        </w:numPr>
        <w:ind w:left="7788"/>
        <w:rPr>
          <w:i/>
          <w:iCs/>
        </w:rPr>
      </w:pPr>
      <w:r w:rsidRPr="00270F2E">
        <w:rPr>
          <w:rStyle w:val="ui-provider"/>
          <w:i/>
          <w:iCs/>
        </w:rPr>
        <w:t>©Cabinet ATAUB</w:t>
      </w:r>
    </w:p>
    <w:p w14:paraId="6C87FFF6" w14:textId="31471E61" w:rsidR="00177F45" w:rsidRDefault="00177F45" w:rsidP="002A5E91">
      <w:pPr>
        <w:pStyle w:val="VPuce"/>
        <w:numPr>
          <w:ilvl w:val="0"/>
          <w:numId w:val="0"/>
        </w:numPr>
        <w:spacing w:line="276" w:lineRule="auto"/>
        <w:ind w:left="794"/>
      </w:pPr>
    </w:p>
    <w:p w14:paraId="5D080497" w14:textId="71343FB5" w:rsidR="00A12638" w:rsidRDefault="00177F45" w:rsidP="004F745E">
      <w:pPr>
        <w:pStyle w:val="VPuce"/>
        <w:numPr>
          <w:ilvl w:val="0"/>
          <w:numId w:val="0"/>
        </w:numPr>
        <w:spacing w:line="276" w:lineRule="auto"/>
        <w:rPr>
          <w:rFonts w:ascii="Cambria Math" w:hAnsi="Cambria Math" w:cs="Cambria Math"/>
        </w:rPr>
      </w:pPr>
      <w:r>
        <w:t>D</w:t>
      </w:r>
      <w:r w:rsidRPr="00FA196F">
        <w:t>ans l’hypercentre de Fécamp</w:t>
      </w:r>
      <w:r>
        <w:t xml:space="preserve">, VINCI Immobilier et Brownfields ont livré en juin </w:t>
      </w:r>
      <w:r w:rsidR="00C31BA5">
        <w:t>une</w:t>
      </w:r>
      <w:r w:rsidR="00FA196F" w:rsidRPr="00FA196F">
        <w:t xml:space="preserve"> résidence intergénérationnelle </w:t>
      </w:r>
      <w:r w:rsidR="000C1F21">
        <w:t xml:space="preserve">de 89 logements, du studio au 4 pièces, </w:t>
      </w:r>
      <w:r>
        <w:t>accueillant</w:t>
      </w:r>
      <w:r w:rsidR="00FA196F" w:rsidRPr="00FA196F">
        <w:t xml:space="preserve"> des personnes seules, à mobilité réduite et des familles. 25% des logements sont destinés à l’accueil des seniors.</w:t>
      </w:r>
      <w:r w:rsidR="00A12638" w:rsidRPr="00CE54AB">
        <w:rPr>
          <w:rFonts w:ascii="Cambria Math" w:hAnsi="Cambria Math" w:cs="Cambria Math"/>
        </w:rPr>
        <w:t>​</w:t>
      </w:r>
    </w:p>
    <w:p w14:paraId="31FABF92" w14:textId="77777777" w:rsidR="00A12638" w:rsidRDefault="00A12638" w:rsidP="004F745E">
      <w:pPr>
        <w:pStyle w:val="VPuce"/>
        <w:numPr>
          <w:ilvl w:val="0"/>
          <w:numId w:val="0"/>
        </w:numPr>
        <w:spacing w:line="276" w:lineRule="auto"/>
        <w:rPr>
          <w:rFonts w:ascii="Cambria Math" w:hAnsi="Cambria Math" w:cs="Cambria Math"/>
        </w:rPr>
      </w:pPr>
    </w:p>
    <w:p w14:paraId="040E383B" w14:textId="0C7FD5C2" w:rsidR="007F1AC5" w:rsidRDefault="00700468" w:rsidP="004F745E">
      <w:pPr>
        <w:pStyle w:val="VPuce"/>
        <w:numPr>
          <w:ilvl w:val="0"/>
          <w:numId w:val="0"/>
        </w:numPr>
        <w:spacing w:line="276" w:lineRule="auto"/>
      </w:pPr>
      <w:r w:rsidRPr="004675D3">
        <w:t xml:space="preserve">Ce projet de recyclage urbain, </w:t>
      </w:r>
      <w:r>
        <w:t>réalisé sur une</w:t>
      </w:r>
      <w:r w:rsidRPr="00FA196F">
        <w:t xml:space="preserve"> friche industrielle anciennement occupée par une usine </w:t>
      </w:r>
      <w:r w:rsidR="00377CA1">
        <w:t>à</w:t>
      </w:r>
      <w:r w:rsidRPr="00FA196F">
        <w:t xml:space="preserve"> gaz</w:t>
      </w:r>
      <w:r>
        <w:t xml:space="preserve"> et </w:t>
      </w:r>
      <w:r w:rsidRPr="00FA196F">
        <w:t>entièrement dépolluée</w:t>
      </w:r>
      <w:r w:rsidR="00283965">
        <w:t xml:space="preserve">, </w:t>
      </w:r>
      <w:r w:rsidRPr="004675D3">
        <w:t>s’inscrit dans la stratégie de VINCI Immobilier visant la zéro artificialisation nette des sols d’ici 2030. </w:t>
      </w:r>
      <w:r w:rsidR="00283965">
        <w:t xml:space="preserve"> </w:t>
      </w:r>
      <w:r w:rsidR="00243EC4">
        <w:t>C’est</w:t>
      </w:r>
      <w:r w:rsidR="000120B9">
        <w:t xml:space="preserve"> également</w:t>
      </w:r>
      <w:r w:rsidR="00243EC4">
        <w:t xml:space="preserve"> </w:t>
      </w:r>
      <w:r w:rsidR="005D733B">
        <w:t xml:space="preserve">la </w:t>
      </w:r>
      <w:r w:rsidR="00A12638" w:rsidRPr="00CE54AB">
        <w:t>1</w:t>
      </w:r>
      <w:r w:rsidR="00CE54AB" w:rsidRPr="00E8489D">
        <w:rPr>
          <w:vertAlign w:val="superscript"/>
        </w:rPr>
        <w:t>ère</w:t>
      </w:r>
      <w:r w:rsidR="00E8489D">
        <w:t xml:space="preserve"> </w:t>
      </w:r>
      <w:r w:rsidR="00CE54AB" w:rsidRPr="00CE54AB">
        <w:t>opération du portefeuille de terrains E</w:t>
      </w:r>
      <w:r w:rsidR="00F11388">
        <w:t>ngie</w:t>
      </w:r>
      <w:r w:rsidR="00CE54AB">
        <w:t>,</w:t>
      </w:r>
      <w:r w:rsidR="007F1AC5">
        <w:t xml:space="preserve"> acquis en 2018 </w:t>
      </w:r>
      <w:r w:rsidR="00ED5DC8">
        <w:t>par VINCI Immobilier et Brownfields</w:t>
      </w:r>
      <w:r w:rsidR="007F1AC5">
        <w:t>,</w:t>
      </w:r>
      <w:r w:rsidR="00CE54AB" w:rsidRPr="00AA16DF">
        <w:t xml:space="preserve"> composé d’une cinquantaine de sites pollués, répartis sur toute la France métropolitaine</w:t>
      </w:r>
      <w:r w:rsidR="007F1AC5">
        <w:t>.</w:t>
      </w:r>
    </w:p>
    <w:p w14:paraId="692802A1" w14:textId="77777777" w:rsidR="004675D3" w:rsidRDefault="004675D3" w:rsidP="004F745E">
      <w:pPr>
        <w:pStyle w:val="VPuce"/>
        <w:numPr>
          <w:ilvl w:val="0"/>
          <w:numId w:val="0"/>
        </w:numPr>
        <w:spacing w:line="276" w:lineRule="auto"/>
      </w:pPr>
    </w:p>
    <w:p w14:paraId="317FCFEA" w14:textId="1B11928D" w:rsidR="00FA196F" w:rsidRPr="00FA196F" w:rsidRDefault="00D84774" w:rsidP="004F745E">
      <w:pPr>
        <w:pStyle w:val="paragraph"/>
        <w:spacing w:before="0" w:beforeAutospacing="0" w:after="0" w:afterAutospacing="0" w:line="276" w:lineRule="auto"/>
        <w:jc w:val="both"/>
        <w:textAlignment w:val="baseline"/>
        <w:rPr>
          <w:rFonts w:asciiTheme="minorHAnsi" w:eastAsiaTheme="minorHAnsi" w:hAnsiTheme="minorHAnsi" w:cstheme="minorBidi"/>
          <w:sz w:val="22"/>
          <w:szCs w:val="20"/>
          <w:lang w:eastAsia="en-US"/>
        </w:rPr>
      </w:pPr>
      <w:r>
        <w:rPr>
          <w:rFonts w:asciiTheme="minorHAnsi" w:eastAsiaTheme="minorHAnsi" w:hAnsiTheme="minorHAnsi" w:cstheme="minorBidi"/>
          <w:sz w:val="22"/>
          <w:szCs w:val="20"/>
          <w:lang w:eastAsia="en-US"/>
        </w:rPr>
        <w:t>Imaginé</w:t>
      </w:r>
      <w:r w:rsidR="00A123BF">
        <w:rPr>
          <w:rFonts w:asciiTheme="minorHAnsi" w:eastAsiaTheme="minorHAnsi" w:hAnsiTheme="minorHAnsi" w:cstheme="minorBidi"/>
          <w:sz w:val="22"/>
          <w:szCs w:val="20"/>
          <w:lang w:eastAsia="en-US"/>
        </w:rPr>
        <w:t>e</w:t>
      </w:r>
      <w:r>
        <w:rPr>
          <w:rFonts w:asciiTheme="minorHAnsi" w:eastAsiaTheme="minorHAnsi" w:hAnsiTheme="minorHAnsi" w:cstheme="minorBidi"/>
          <w:sz w:val="22"/>
          <w:szCs w:val="20"/>
          <w:lang w:eastAsia="en-US"/>
        </w:rPr>
        <w:t xml:space="preserve"> par le cabinet d’architectures ATAUB, l</w:t>
      </w:r>
      <w:r w:rsidR="00FA196F" w:rsidRPr="00FA196F">
        <w:rPr>
          <w:rFonts w:asciiTheme="minorHAnsi" w:eastAsiaTheme="minorHAnsi" w:hAnsiTheme="minorHAnsi" w:cstheme="minorBidi"/>
          <w:sz w:val="22"/>
          <w:szCs w:val="20"/>
          <w:lang w:eastAsia="en-US"/>
        </w:rPr>
        <w:t>a résidence s’inspire de l’architecture locale, en harmonie avec l’abbaye du XIIe située à proximité</w:t>
      </w:r>
      <w:r w:rsidR="00FE6236">
        <w:rPr>
          <w:rFonts w:asciiTheme="minorHAnsi" w:eastAsiaTheme="minorHAnsi" w:hAnsiTheme="minorHAnsi" w:cstheme="minorBidi"/>
          <w:sz w:val="22"/>
          <w:szCs w:val="20"/>
          <w:lang w:eastAsia="en-US"/>
        </w:rPr>
        <w:t>. Certains logements bénéficient de</w:t>
      </w:r>
      <w:r w:rsidR="00FA196F" w:rsidRPr="00FA196F">
        <w:rPr>
          <w:rFonts w:asciiTheme="minorHAnsi" w:eastAsiaTheme="minorHAnsi" w:hAnsiTheme="minorHAnsi" w:cstheme="minorBidi"/>
          <w:sz w:val="22"/>
          <w:szCs w:val="20"/>
          <w:lang w:eastAsia="en-US"/>
        </w:rPr>
        <w:t xml:space="preserve"> terrasses</w:t>
      </w:r>
      <w:r w:rsidR="00FE6236">
        <w:rPr>
          <w:rFonts w:asciiTheme="minorHAnsi" w:eastAsiaTheme="minorHAnsi" w:hAnsiTheme="minorHAnsi" w:cstheme="minorBidi"/>
          <w:sz w:val="22"/>
          <w:szCs w:val="20"/>
          <w:lang w:eastAsia="en-US"/>
        </w:rPr>
        <w:t xml:space="preserve"> et</w:t>
      </w:r>
      <w:r w:rsidR="00FA196F" w:rsidRPr="00FA196F">
        <w:rPr>
          <w:rFonts w:ascii="Cambria Math" w:eastAsiaTheme="minorHAnsi" w:hAnsi="Cambria Math" w:cs="Cambria Math"/>
          <w:sz w:val="22"/>
          <w:szCs w:val="20"/>
          <w:lang w:eastAsia="en-US"/>
        </w:rPr>
        <w:t>​</w:t>
      </w:r>
      <w:r w:rsidR="003228A2">
        <w:rPr>
          <w:rFonts w:ascii="Cambria Math" w:eastAsiaTheme="minorHAnsi" w:hAnsi="Cambria Math" w:cs="Cambria Math"/>
          <w:sz w:val="22"/>
          <w:szCs w:val="20"/>
          <w:lang w:eastAsia="en-US"/>
        </w:rPr>
        <w:t xml:space="preserve"> </w:t>
      </w:r>
      <w:r w:rsidR="00FE6236">
        <w:rPr>
          <w:rFonts w:asciiTheme="minorHAnsi" w:eastAsiaTheme="minorHAnsi" w:hAnsiTheme="minorHAnsi" w:cstheme="minorBidi"/>
          <w:sz w:val="22"/>
          <w:szCs w:val="20"/>
          <w:lang w:eastAsia="en-US"/>
        </w:rPr>
        <w:t>l</w:t>
      </w:r>
      <w:r w:rsidR="007105E5" w:rsidRPr="007105E5">
        <w:rPr>
          <w:rFonts w:asciiTheme="minorHAnsi" w:eastAsiaTheme="minorHAnsi" w:hAnsiTheme="minorHAnsi" w:cstheme="minorBidi"/>
          <w:sz w:val="22"/>
          <w:szCs w:val="20"/>
          <w:lang w:eastAsia="en-US"/>
        </w:rPr>
        <w:t>e cœur d’îl</w:t>
      </w:r>
      <w:r w:rsidR="007105E5">
        <w:rPr>
          <w:rFonts w:asciiTheme="minorHAnsi" w:eastAsiaTheme="minorHAnsi" w:hAnsiTheme="minorHAnsi" w:cstheme="minorBidi"/>
          <w:sz w:val="22"/>
          <w:szCs w:val="20"/>
          <w:lang w:eastAsia="en-US"/>
        </w:rPr>
        <w:t>o</w:t>
      </w:r>
      <w:r w:rsidR="007105E5" w:rsidRPr="007105E5">
        <w:rPr>
          <w:rFonts w:asciiTheme="minorHAnsi" w:eastAsiaTheme="minorHAnsi" w:hAnsiTheme="minorHAnsi" w:cstheme="minorBidi"/>
          <w:sz w:val="22"/>
          <w:szCs w:val="20"/>
          <w:lang w:eastAsia="en-US"/>
        </w:rPr>
        <w:t xml:space="preserve">t </w:t>
      </w:r>
      <w:r w:rsidR="00FE6236">
        <w:rPr>
          <w:rFonts w:asciiTheme="minorHAnsi" w:eastAsiaTheme="minorHAnsi" w:hAnsiTheme="minorHAnsi" w:cstheme="minorBidi"/>
          <w:sz w:val="22"/>
          <w:szCs w:val="20"/>
          <w:lang w:eastAsia="en-US"/>
        </w:rPr>
        <w:t>desservant</w:t>
      </w:r>
      <w:r w:rsidR="007105E5" w:rsidRPr="007105E5">
        <w:rPr>
          <w:rFonts w:asciiTheme="minorHAnsi" w:eastAsiaTheme="minorHAnsi" w:hAnsiTheme="minorHAnsi" w:cstheme="minorBidi"/>
          <w:sz w:val="22"/>
          <w:szCs w:val="20"/>
          <w:lang w:eastAsia="en-US"/>
        </w:rPr>
        <w:t xml:space="preserve"> les halls d’entrée de la résidence est </w:t>
      </w:r>
      <w:r w:rsidR="007105E5">
        <w:rPr>
          <w:rFonts w:asciiTheme="minorHAnsi" w:eastAsiaTheme="minorHAnsi" w:hAnsiTheme="minorHAnsi" w:cstheme="minorBidi"/>
          <w:sz w:val="22"/>
          <w:szCs w:val="20"/>
          <w:lang w:eastAsia="en-US"/>
        </w:rPr>
        <w:t>agrémenté d’u</w:t>
      </w:r>
      <w:r w:rsidR="007105E5" w:rsidRPr="007105E5">
        <w:rPr>
          <w:rFonts w:asciiTheme="minorHAnsi" w:eastAsiaTheme="minorHAnsi" w:hAnsiTheme="minorHAnsi" w:cstheme="minorBidi"/>
          <w:sz w:val="22"/>
          <w:szCs w:val="20"/>
          <w:lang w:eastAsia="en-US"/>
        </w:rPr>
        <w:t xml:space="preserve">n espace végétalisé et </w:t>
      </w:r>
      <w:r w:rsidR="007105E5">
        <w:rPr>
          <w:rFonts w:asciiTheme="minorHAnsi" w:eastAsiaTheme="minorHAnsi" w:hAnsiTheme="minorHAnsi" w:cstheme="minorBidi"/>
          <w:sz w:val="22"/>
          <w:szCs w:val="20"/>
          <w:lang w:eastAsia="en-US"/>
        </w:rPr>
        <w:t xml:space="preserve">d’un </w:t>
      </w:r>
      <w:r w:rsidR="007105E5" w:rsidRPr="007105E5">
        <w:rPr>
          <w:rFonts w:asciiTheme="minorHAnsi" w:eastAsiaTheme="minorHAnsi" w:hAnsiTheme="minorHAnsi" w:cstheme="minorBidi"/>
          <w:sz w:val="22"/>
          <w:szCs w:val="20"/>
          <w:lang w:eastAsia="en-US"/>
        </w:rPr>
        <w:t>cheminement piéton</w:t>
      </w:r>
      <w:r w:rsidR="007105E5">
        <w:rPr>
          <w:rFonts w:asciiTheme="minorHAnsi" w:eastAsiaTheme="minorHAnsi" w:hAnsiTheme="minorHAnsi" w:cstheme="minorBidi"/>
          <w:sz w:val="22"/>
          <w:szCs w:val="20"/>
          <w:lang w:eastAsia="en-US"/>
        </w:rPr>
        <w:t xml:space="preserve">. </w:t>
      </w:r>
    </w:p>
    <w:p w14:paraId="0F5809EB" w14:textId="77777777" w:rsidR="00FA196F" w:rsidRPr="00FA196F" w:rsidRDefault="00FA196F" w:rsidP="004F745E">
      <w:pPr>
        <w:pStyle w:val="paragraph"/>
        <w:spacing w:before="0" w:beforeAutospacing="0" w:after="0" w:afterAutospacing="0" w:line="276" w:lineRule="auto"/>
        <w:jc w:val="both"/>
        <w:textAlignment w:val="baseline"/>
        <w:rPr>
          <w:rFonts w:asciiTheme="minorHAnsi" w:eastAsiaTheme="minorHAnsi" w:hAnsiTheme="minorHAnsi" w:cstheme="minorBidi"/>
          <w:sz w:val="22"/>
          <w:szCs w:val="20"/>
          <w:lang w:eastAsia="en-US"/>
        </w:rPr>
      </w:pPr>
      <w:r w:rsidRPr="00FA196F">
        <w:rPr>
          <w:rFonts w:ascii="Cambria Math" w:eastAsiaTheme="minorHAnsi" w:hAnsi="Cambria Math" w:cs="Cambria Math"/>
          <w:sz w:val="22"/>
          <w:szCs w:val="20"/>
          <w:lang w:eastAsia="en-US"/>
        </w:rPr>
        <w:t>​</w:t>
      </w:r>
    </w:p>
    <w:p w14:paraId="3F8141E8" w14:textId="10998BC2" w:rsidR="00FA196F" w:rsidRPr="00FA196F" w:rsidRDefault="00FA196F" w:rsidP="004F745E">
      <w:pPr>
        <w:pStyle w:val="paragraph"/>
        <w:spacing w:before="0" w:beforeAutospacing="0" w:after="0" w:afterAutospacing="0" w:line="276" w:lineRule="auto"/>
        <w:jc w:val="both"/>
        <w:textAlignment w:val="baseline"/>
        <w:rPr>
          <w:rFonts w:asciiTheme="minorHAnsi" w:eastAsiaTheme="minorHAnsi" w:hAnsiTheme="minorHAnsi" w:cstheme="minorBidi"/>
          <w:sz w:val="22"/>
          <w:szCs w:val="20"/>
          <w:lang w:eastAsia="en-US"/>
        </w:rPr>
      </w:pPr>
      <w:r w:rsidRPr="00FA196F">
        <w:rPr>
          <w:rFonts w:asciiTheme="minorHAnsi" w:eastAsiaTheme="minorHAnsi" w:hAnsiTheme="minorHAnsi" w:cstheme="minorBidi"/>
          <w:sz w:val="22"/>
          <w:szCs w:val="20"/>
          <w:lang w:eastAsia="en-US"/>
        </w:rPr>
        <w:t>Une attention particulière a été portée à la performance énergétique du bâtiment via l’orientation, l’isolation de l’enveloppe</w:t>
      </w:r>
      <w:r w:rsidR="005A3D8B">
        <w:rPr>
          <w:rFonts w:asciiTheme="minorHAnsi" w:eastAsiaTheme="minorHAnsi" w:hAnsiTheme="minorHAnsi" w:cstheme="minorBidi"/>
          <w:sz w:val="22"/>
          <w:szCs w:val="20"/>
          <w:lang w:eastAsia="en-US"/>
        </w:rPr>
        <w:t xml:space="preserve">, </w:t>
      </w:r>
      <w:r w:rsidR="007105E5">
        <w:rPr>
          <w:rFonts w:asciiTheme="minorHAnsi" w:eastAsiaTheme="minorHAnsi" w:hAnsiTheme="minorHAnsi" w:cstheme="minorBidi"/>
          <w:sz w:val="22"/>
          <w:szCs w:val="20"/>
          <w:lang w:eastAsia="en-US"/>
        </w:rPr>
        <w:t>la mixité</w:t>
      </w:r>
      <w:r w:rsidR="005A3D8B">
        <w:rPr>
          <w:rFonts w:asciiTheme="minorHAnsi" w:eastAsiaTheme="minorHAnsi" w:hAnsiTheme="minorHAnsi" w:cstheme="minorBidi"/>
          <w:sz w:val="22"/>
          <w:szCs w:val="20"/>
          <w:lang w:eastAsia="en-US"/>
        </w:rPr>
        <w:t xml:space="preserve"> des matériaux</w:t>
      </w:r>
      <w:r w:rsidRPr="00FA196F">
        <w:rPr>
          <w:rFonts w:asciiTheme="minorHAnsi" w:eastAsiaTheme="minorHAnsi" w:hAnsiTheme="minorHAnsi" w:cstheme="minorBidi"/>
          <w:sz w:val="22"/>
          <w:szCs w:val="20"/>
          <w:lang w:eastAsia="en-US"/>
        </w:rPr>
        <w:t xml:space="preserve"> et la performance des moyens de chauffage.</w:t>
      </w:r>
      <w:r w:rsidRPr="00FA196F">
        <w:rPr>
          <w:rFonts w:ascii="Cambria Math" w:eastAsiaTheme="minorHAnsi" w:hAnsi="Cambria Math" w:cs="Cambria Math"/>
          <w:sz w:val="22"/>
          <w:szCs w:val="20"/>
          <w:lang w:eastAsia="en-US"/>
        </w:rPr>
        <w:t>​</w:t>
      </w:r>
    </w:p>
    <w:p w14:paraId="3921F94B" w14:textId="6AD02A75" w:rsidR="00B86224" w:rsidRDefault="00FA196F" w:rsidP="004F745E">
      <w:pPr>
        <w:pStyle w:val="paragraph"/>
        <w:spacing w:before="0" w:beforeAutospacing="0" w:after="0" w:afterAutospacing="0" w:line="276" w:lineRule="auto"/>
        <w:jc w:val="both"/>
        <w:textAlignment w:val="baseline"/>
        <w:rPr>
          <w:rFonts w:ascii="Cambria Math" w:eastAsiaTheme="minorHAnsi" w:hAnsi="Cambria Math" w:cs="Cambria Math"/>
          <w:sz w:val="22"/>
          <w:szCs w:val="20"/>
          <w:lang w:eastAsia="en-US"/>
        </w:rPr>
      </w:pPr>
      <w:r w:rsidRPr="00FA196F">
        <w:rPr>
          <w:rFonts w:ascii="Cambria Math" w:eastAsiaTheme="minorHAnsi" w:hAnsi="Cambria Math" w:cs="Cambria Math"/>
          <w:sz w:val="22"/>
          <w:szCs w:val="20"/>
          <w:lang w:eastAsia="en-US"/>
        </w:rPr>
        <w:t>​</w:t>
      </w:r>
    </w:p>
    <w:p w14:paraId="5EFA7D3B" w14:textId="64BED9BF" w:rsidR="00F7653D" w:rsidRDefault="00717F84" w:rsidP="00F7653D">
      <w:pPr>
        <w:pStyle w:val="VTitre2"/>
        <w:spacing w:line="276" w:lineRule="auto"/>
      </w:pPr>
      <w:r>
        <w:lastRenderedPageBreak/>
        <w:t>FICHE TECHNIQUE DU PROGRAMME :</w:t>
      </w:r>
    </w:p>
    <w:p w14:paraId="100874F2" w14:textId="77777777" w:rsidR="000851D9" w:rsidRDefault="000851D9" w:rsidP="00F7653D">
      <w:pPr>
        <w:pStyle w:val="VTitre2"/>
        <w:spacing w:line="276" w:lineRule="auto"/>
      </w:pPr>
    </w:p>
    <w:p w14:paraId="0690314F" w14:textId="77777777" w:rsidR="000851D9" w:rsidRPr="000851D9" w:rsidRDefault="000851D9" w:rsidP="000851D9">
      <w:pPr>
        <w:pStyle w:val="VPuce"/>
        <w:spacing w:line="360" w:lineRule="auto"/>
      </w:pPr>
      <w:r w:rsidRPr="000851D9">
        <w:t>Promoteurs</w:t>
      </w:r>
      <w:r w:rsidRPr="000851D9">
        <w:rPr>
          <w:rFonts w:ascii="Cambria Math" w:hAnsi="Cambria Math" w:cs="Cambria Math"/>
        </w:rPr>
        <w:t>​</w:t>
      </w:r>
      <w:r>
        <w:rPr>
          <w:rFonts w:ascii="Cambria Math" w:hAnsi="Cambria Math" w:cs="Cambria Math"/>
        </w:rPr>
        <w:t xml:space="preserve"> : </w:t>
      </w:r>
      <w:r w:rsidRPr="000851D9">
        <w:t>VINCI Immobilier et Brownfields </w:t>
      </w:r>
      <w:r w:rsidRPr="000851D9">
        <w:rPr>
          <w:rFonts w:ascii="Cambria Math" w:hAnsi="Cambria Math" w:cs="Cambria Math"/>
        </w:rPr>
        <w:t>​</w:t>
      </w:r>
    </w:p>
    <w:p w14:paraId="0D2F13EC" w14:textId="77777777" w:rsidR="000851D9" w:rsidRPr="000851D9" w:rsidRDefault="000851D9" w:rsidP="000851D9">
      <w:pPr>
        <w:pStyle w:val="VPuce"/>
        <w:spacing w:line="360" w:lineRule="auto"/>
      </w:pPr>
      <w:r w:rsidRPr="000851D9">
        <w:t>Bailleur social</w:t>
      </w:r>
      <w:r>
        <w:t> </w:t>
      </w:r>
      <w:r w:rsidRPr="000851D9">
        <w:rPr>
          <w:rFonts w:ascii="Cambria Math" w:hAnsi="Cambria Math" w:cs="Cambria Math"/>
        </w:rPr>
        <w:t>​</w:t>
      </w:r>
      <w:r>
        <w:t xml:space="preserve">: </w:t>
      </w:r>
      <w:r w:rsidRPr="000851D9">
        <w:t>Logeo Seine</w:t>
      </w:r>
      <w:r w:rsidRPr="000851D9">
        <w:rPr>
          <w:rFonts w:ascii="Cambria Math" w:hAnsi="Cambria Math" w:cs="Cambria Math"/>
        </w:rPr>
        <w:t>​</w:t>
      </w:r>
    </w:p>
    <w:p w14:paraId="2A50E8BE" w14:textId="77777777" w:rsidR="000851D9" w:rsidRPr="000851D9" w:rsidRDefault="000851D9" w:rsidP="000851D9">
      <w:pPr>
        <w:pStyle w:val="VPuce"/>
        <w:spacing w:line="360" w:lineRule="auto"/>
      </w:pPr>
      <w:r w:rsidRPr="000851D9">
        <w:t>Architecte</w:t>
      </w:r>
      <w:r>
        <w:t> </w:t>
      </w:r>
      <w:r w:rsidRPr="000851D9">
        <w:rPr>
          <w:rFonts w:ascii="Cambria Math" w:hAnsi="Cambria Math" w:cs="Cambria Math"/>
        </w:rPr>
        <w:t>​</w:t>
      </w:r>
      <w:r>
        <w:rPr>
          <w:rFonts w:ascii="Cambria Math" w:hAnsi="Cambria Math" w:cs="Cambria Math"/>
        </w:rPr>
        <w:t xml:space="preserve">: </w:t>
      </w:r>
      <w:r w:rsidRPr="000851D9">
        <w:t>Cabinet ATAUB</w:t>
      </w:r>
      <w:r w:rsidRPr="000851D9">
        <w:rPr>
          <w:rFonts w:ascii="Cambria Math" w:hAnsi="Cambria Math" w:cs="Cambria Math"/>
        </w:rPr>
        <w:t>​</w:t>
      </w:r>
    </w:p>
    <w:p w14:paraId="47FD2036" w14:textId="77777777" w:rsidR="000851D9" w:rsidRPr="008151AF" w:rsidRDefault="000851D9" w:rsidP="000851D9">
      <w:pPr>
        <w:pStyle w:val="VPuce"/>
        <w:spacing w:line="360" w:lineRule="auto"/>
      </w:pPr>
      <w:r w:rsidRPr="000851D9">
        <w:t>Surface</w:t>
      </w:r>
      <w:r>
        <w:t> </w:t>
      </w:r>
      <w:r w:rsidRPr="000851D9">
        <w:rPr>
          <w:rFonts w:ascii="Cambria Math" w:hAnsi="Cambria Math" w:cs="Cambria Math"/>
        </w:rPr>
        <w:t>​</w:t>
      </w:r>
      <w:r>
        <w:rPr>
          <w:rFonts w:ascii="Cambria Math" w:hAnsi="Cambria Math" w:cs="Cambria Math"/>
        </w:rPr>
        <w:t xml:space="preserve">: </w:t>
      </w:r>
      <w:r w:rsidRPr="000851D9">
        <w:t>5 400 m² SDP</w:t>
      </w:r>
      <w:r w:rsidRPr="000851D9">
        <w:rPr>
          <w:rFonts w:ascii="Cambria Math" w:hAnsi="Cambria Math" w:cs="Cambria Math"/>
        </w:rPr>
        <w:t>​</w:t>
      </w:r>
    </w:p>
    <w:p w14:paraId="01EAD794" w14:textId="42B0062C" w:rsidR="008151AF" w:rsidRPr="000851D9" w:rsidRDefault="008151AF" w:rsidP="000851D9">
      <w:pPr>
        <w:pStyle w:val="VPuce"/>
        <w:spacing w:line="360" w:lineRule="auto"/>
      </w:pPr>
      <w:r w:rsidRPr="008151AF">
        <w:t xml:space="preserve">Démarrage des travaux : mai 2021 </w:t>
      </w:r>
    </w:p>
    <w:p w14:paraId="6ADFFB0B" w14:textId="3409539A" w:rsidR="000851D9" w:rsidRPr="000851D9" w:rsidRDefault="000851D9" w:rsidP="000851D9">
      <w:pPr>
        <w:pStyle w:val="VPuce"/>
        <w:spacing w:line="360" w:lineRule="auto"/>
      </w:pPr>
      <w:r w:rsidRPr="000851D9">
        <w:t>Livraison </w:t>
      </w:r>
      <w:r w:rsidRPr="000851D9">
        <w:rPr>
          <w:rFonts w:ascii="Cambria Math" w:hAnsi="Cambria Math" w:cs="Cambria Math"/>
        </w:rPr>
        <w:t>​</w:t>
      </w:r>
      <w:r w:rsidRPr="000851D9">
        <w:t xml:space="preserve">: </w:t>
      </w:r>
      <w:r w:rsidR="007746A5">
        <w:t>j</w:t>
      </w:r>
      <w:r w:rsidRPr="000851D9">
        <w:t>uin 2023</w:t>
      </w:r>
      <w:r w:rsidRPr="000851D9">
        <w:rPr>
          <w:rFonts w:ascii="Cambria Math" w:hAnsi="Cambria Math" w:cs="Cambria Math"/>
        </w:rPr>
        <w:t>​</w:t>
      </w:r>
    </w:p>
    <w:p w14:paraId="5CB074D9" w14:textId="77777777" w:rsidR="000851D9" w:rsidRDefault="000851D9" w:rsidP="000851D9">
      <w:pPr>
        <w:pStyle w:val="VPuce"/>
        <w:spacing w:line="360" w:lineRule="auto"/>
      </w:pPr>
      <w:r w:rsidRPr="000851D9">
        <w:t>Certification </w:t>
      </w:r>
      <w:r w:rsidRPr="000851D9">
        <w:rPr>
          <w:rFonts w:ascii="Cambria Math" w:hAnsi="Cambria Math" w:cs="Cambria Math"/>
        </w:rPr>
        <w:t>​</w:t>
      </w:r>
      <w:r w:rsidRPr="000851D9">
        <w:t>: RT2012 -20%</w:t>
      </w:r>
    </w:p>
    <w:p w14:paraId="1B8EF4F0" w14:textId="77777777" w:rsidR="004E2D1C" w:rsidRDefault="000851D9" w:rsidP="004E2D1C">
      <w:pPr>
        <w:pStyle w:val="VPuce"/>
        <w:spacing w:line="360" w:lineRule="auto"/>
      </w:pPr>
      <w:r w:rsidRPr="000851D9">
        <w:t>Programmation :</w:t>
      </w:r>
      <w:r w:rsidRPr="000851D9">
        <w:rPr>
          <w:rFonts w:ascii="Cambria Math" w:hAnsi="Cambria Math" w:cs="Cambria Math"/>
        </w:rPr>
        <w:t>​</w:t>
      </w:r>
      <w:r w:rsidR="007105E5">
        <w:t xml:space="preserve"> </w:t>
      </w:r>
      <w:r w:rsidR="00215C0E" w:rsidRPr="000851D9">
        <w:t>89 logements sociaux du T1 au T4</w:t>
      </w:r>
      <w:r w:rsidR="00215C0E" w:rsidRPr="007105E5">
        <w:rPr>
          <w:rFonts w:ascii="Cambria Math" w:hAnsi="Cambria Math" w:cs="Cambria Math"/>
        </w:rPr>
        <w:t>​</w:t>
      </w:r>
    </w:p>
    <w:p w14:paraId="5293B7D3" w14:textId="2C01AE39" w:rsidR="006D57D3" w:rsidRPr="00215C0E" w:rsidRDefault="007746A5" w:rsidP="006D57D3">
      <w:pPr>
        <w:pStyle w:val="VPuce"/>
        <w:spacing w:line="360" w:lineRule="auto"/>
      </w:pPr>
      <w:r w:rsidRPr="007746A5">
        <w:t>Adresse :</w:t>
      </w:r>
      <w:r w:rsidR="009A3C86">
        <w:t xml:space="preserve"> rue de l’inondation </w:t>
      </w:r>
    </w:p>
    <w:p w14:paraId="66BC0DB5" w14:textId="3F3FB614" w:rsidR="00232496" w:rsidRDefault="00215C0E" w:rsidP="00B5514F">
      <w:pPr>
        <w:pStyle w:val="paragraph"/>
        <w:spacing w:before="0" w:beforeAutospacing="0" w:after="0" w:afterAutospacing="0" w:line="360" w:lineRule="auto"/>
        <w:textAlignment w:val="baseline"/>
        <w:rPr>
          <w:rFonts w:ascii="Cambria Math" w:eastAsiaTheme="minorHAnsi" w:hAnsi="Cambria Math" w:cs="Cambria Math"/>
          <w:sz w:val="22"/>
          <w:szCs w:val="20"/>
          <w:lang w:eastAsia="en-US"/>
        </w:rPr>
      </w:pPr>
      <w:r w:rsidRPr="00215C0E">
        <w:rPr>
          <w:rFonts w:ascii="Cambria Math" w:eastAsiaTheme="minorHAnsi" w:hAnsi="Cambria Math" w:cs="Cambria Math"/>
          <w:sz w:val="22"/>
          <w:szCs w:val="20"/>
          <w:lang w:eastAsia="en-US"/>
        </w:rPr>
        <w:t>​</w:t>
      </w:r>
    </w:p>
    <w:p w14:paraId="6945CEC6" w14:textId="77777777" w:rsidR="00B5514F" w:rsidRDefault="00B5514F" w:rsidP="00B5514F">
      <w:pPr>
        <w:pStyle w:val="paragraph"/>
        <w:spacing w:before="0" w:beforeAutospacing="0" w:after="0" w:afterAutospacing="0" w:line="360" w:lineRule="auto"/>
        <w:textAlignment w:val="baseline"/>
        <w:rPr>
          <w:rFonts w:asciiTheme="minorHAnsi" w:hAnsiTheme="minorHAnsi" w:cs="Calibri"/>
          <w:color w:val="00428B" w:themeColor="hyperlink"/>
          <w:sz w:val="20"/>
          <w:szCs w:val="20"/>
        </w:rPr>
      </w:pPr>
    </w:p>
    <w:p w14:paraId="7061BD89" w14:textId="77777777" w:rsidR="005428D2" w:rsidRDefault="005428D2" w:rsidP="00B5514F">
      <w:pPr>
        <w:pStyle w:val="paragraph"/>
        <w:spacing w:before="0" w:beforeAutospacing="0" w:after="0" w:afterAutospacing="0" w:line="360" w:lineRule="auto"/>
        <w:textAlignment w:val="baseline"/>
        <w:rPr>
          <w:rFonts w:asciiTheme="minorHAnsi" w:hAnsiTheme="minorHAnsi" w:cs="Calibri"/>
          <w:color w:val="00428B" w:themeColor="hyperlink"/>
          <w:sz w:val="20"/>
          <w:szCs w:val="20"/>
        </w:rPr>
      </w:pPr>
    </w:p>
    <w:p w14:paraId="4405E9ED" w14:textId="77777777" w:rsidR="005428D2" w:rsidRPr="00B5514F" w:rsidRDefault="005428D2" w:rsidP="00B5514F">
      <w:pPr>
        <w:pStyle w:val="paragraph"/>
        <w:spacing w:before="0" w:beforeAutospacing="0" w:after="0" w:afterAutospacing="0" w:line="360" w:lineRule="auto"/>
        <w:textAlignment w:val="baseline"/>
        <w:rPr>
          <w:rFonts w:asciiTheme="minorHAnsi" w:hAnsiTheme="minorHAnsi" w:cs="Calibri"/>
          <w:color w:val="00428B" w:themeColor="hyperlink"/>
          <w:sz w:val="20"/>
          <w:szCs w:val="20"/>
        </w:rPr>
      </w:pPr>
    </w:p>
    <w:p w14:paraId="6DBDE35F" w14:textId="77777777" w:rsidR="006D57D3" w:rsidRPr="00FB5F07" w:rsidRDefault="006D57D3" w:rsidP="006D57D3">
      <w:pPr>
        <w:pStyle w:val="paragraph"/>
        <w:spacing w:before="0" w:beforeAutospacing="0" w:after="0" w:afterAutospacing="0" w:line="360" w:lineRule="auto"/>
        <w:textAlignment w:val="baseline"/>
        <w:rPr>
          <w:rFonts w:asciiTheme="minorHAnsi" w:eastAsiaTheme="minorHAnsi" w:hAnsiTheme="minorHAnsi" w:cstheme="minorBidi"/>
          <w:sz w:val="22"/>
          <w:szCs w:val="20"/>
          <w:lang w:eastAsia="en-US"/>
        </w:rPr>
      </w:pPr>
    </w:p>
    <w:p w14:paraId="28C8A76D" w14:textId="77777777" w:rsidR="006D57D3" w:rsidRDefault="006D57D3" w:rsidP="006D57D3">
      <w:pPr>
        <w:spacing w:line="276" w:lineRule="auto"/>
        <w:rPr>
          <w:rFonts w:ascii="Vinci Sans" w:eastAsia="Times New Roman" w:hAnsi="Vinci Sans" w:cs="Calibri"/>
          <w:sz w:val="20"/>
          <w:lang w:eastAsia="fr-FR"/>
        </w:rPr>
      </w:pPr>
      <w:r w:rsidRPr="00840982">
        <w:rPr>
          <w:rFonts w:asciiTheme="majorHAnsi" w:hAnsiTheme="majorHAnsi"/>
          <w:sz w:val="14"/>
          <w:szCs w:val="14"/>
        </w:rPr>
        <w:t>À propos de VINCI</w:t>
      </w:r>
      <w:r>
        <w:rPr>
          <w:rFonts w:asciiTheme="majorHAnsi" w:hAnsiTheme="majorHAnsi"/>
          <w:sz w:val="14"/>
          <w:szCs w:val="14"/>
        </w:rPr>
        <w:t xml:space="preserve"> Immobilier</w:t>
      </w:r>
    </w:p>
    <w:p w14:paraId="34CBDA70" w14:textId="77777777" w:rsidR="006D57D3" w:rsidRPr="0094740E" w:rsidRDefault="006D57D3" w:rsidP="006D57D3">
      <w:pPr>
        <w:spacing w:line="276" w:lineRule="auto"/>
        <w:rPr>
          <w:rFonts w:ascii="Vinci Sans Light" w:hAnsi="Vinci Sans Light"/>
          <w:sz w:val="14"/>
          <w:szCs w:val="14"/>
        </w:rPr>
      </w:pPr>
      <w:r w:rsidRPr="0094740E">
        <w:rPr>
          <w:rFonts w:ascii="Vinci Sans Light" w:hAnsi="Vinci Sans Light"/>
          <w:sz w:val="14"/>
          <w:szCs w:val="14"/>
        </w:rPr>
        <w:t>VINCI Immobilier, filiale du groupe VINCI, est le premier promoteur national à s’engager à atteindre le Zéro Artificialisation Nette (ZAN), et ce dès 2030, avec 20 ans d’avance sur les objectifs fixés par la loi Climat et Résilience. Acteur leader en matière de recyclage urbain, VINCI Immobilier intervient essentiellement dans des zones déjà urbanisées ou déjà artificialisées </w:t>
      </w:r>
      <w:r w:rsidRPr="008C3869">
        <w:rPr>
          <w:rFonts w:asciiTheme="majorHAnsi" w:hAnsiTheme="majorHAnsi"/>
          <w:sz w:val="14"/>
          <w:szCs w:val="14"/>
        </w:rPr>
        <w:t>sur</w:t>
      </w:r>
      <w:r w:rsidRPr="0094740E">
        <w:rPr>
          <w:rFonts w:ascii="Vinci Sans Light" w:hAnsi="Vinci Sans Light"/>
          <w:sz w:val="14"/>
          <w:szCs w:val="14"/>
        </w:rPr>
        <w:t xml:space="preserve"> tout le territoire, dans les deux grands secteurs du marché : l'immobilier résidentiel (logements et résidences gérées) et l'immobilier d'entreprise (bureaux, hôtels, commerces), s'adressant ainsi aux investisseurs, institutionnels et aux particuliers. VINCI Immobilier apporte également à ses clients son expertise en matière de conseil et de gestion d'immeubles à travers son pôle "services". Grâce à son offre </w:t>
      </w:r>
      <w:proofErr w:type="spellStart"/>
      <w:r w:rsidRPr="0094740E">
        <w:rPr>
          <w:rFonts w:ascii="Vinci Sans Light" w:hAnsi="Vinci Sans Light"/>
          <w:sz w:val="14"/>
          <w:szCs w:val="14"/>
        </w:rPr>
        <w:t>multi-produits</w:t>
      </w:r>
      <w:proofErr w:type="spellEnd"/>
      <w:r w:rsidRPr="0094740E">
        <w:rPr>
          <w:rFonts w:ascii="Vinci Sans Light" w:hAnsi="Vinci Sans Light"/>
          <w:sz w:val="14"/>
          <w:szCs w:val="14"/>
        </w:rPr>
        <w:t xml:space="preserve"> et son expertise dans la réalisation de grands projets complexes, VINCI Immobilier accompagne les collectivités locales pour la réalisation de leurs opérations d'aménagement et participe ainsi au développement des zones urbaines. A travers ses filiales OVELIA, STUDENT FACTORY et BIKUBE, VINCI Immobilier exploite et gère des résidences seniors et étudiants ainsi que des résidences de </w:t>
      </w:r>
      <w:proofErr w:type="spellStart"/>
      <w:r w:rsidRPr="0094740E">
        <w:rPr>
          <w:rFonts w:ascii="Vinci Sans Light" w:hAnsi="Vinci Sans Light"/>
          <w:sz w:val="14"/>
          <w:szCs w:val="14"/>
        </w:rPr>
        <w:t>coliving</w:t>
      </w:r>
      <w:proofErr w:type="spellEnd"/>
      <w:r w:rsidRPr="0094740E">
        <w:rPr>
          <w:rFonts w:ascii="Vinci Sans Light" w:hAnsi="Vinci Sans Light"/>
          <w:sz w:val="14"/>
          <w:szCs w:val="14"/>
        </w:rPr>
        <w:t>.</w:t>
      </w:r>
    </w:p>
    <w:p w14:paraId="0B87CC5D" w14:textId="77777777" w:rsidR="006D57D3" w:rsidRPr="00D8773A" w:rsidRDefault="00377CA1" w:rsidP="006D57D3">
      <w:pPr>
        <w:rPr>
          <w:rFonts w:cs="Calibri"/>
          <w:color w:val="00428B" w:themeColor="hyperlink"/>
          <w:sz w:val="20"/>
          <w:u w:val="single"/>
        </w:rPr>
      </w:pPr>
      <w:hyperlink r:id="rId12" w:history="1">
        <w:r w:rsidR="006D57D3" w:rsidRPr="00D8773A">
          <w:rPr>
            <w:rStyle w:val="Lienhypertexte"/>
            <w:rFonts w:cs="Calibri"/>
            <w:sz w:val="20"/>
          </w:rPr>
          <w:t>www.vinci-immobilier.com</w:t>
        </w:r>
      </w:hyperlink>
    </w:p>
    <w:p w14:paraId="73B7BECF" w14:textId="77777777" w:rsidR="006D57D3" w:rsidRPr="00D8773A" w:rsidRDefault="006D57D3" w:rsidP="006D57D3">
      <w:pPr>
        <w:rPr>
          <w:rStyle w:val="Lienhypertexte"/>
          <w:rFonts w:ascii="Vinci Sans" w:hAnsi="Vinci Sans"/>
          <w:sz w:val="20"/>
        </w:rPr>
      </w:pPr>
    </w:p>
    <w:tbl>
      <w:tblPr>
        <w:tblW w:w="0" w:type="auto"/>
        <w:tblCellSpacing w:w="0" w:type="dxa"/>
        <w:tblCellMar>
          <w:left w:w="0" w:type="dxa"/>
          <w:right w:w="0" w:type="dxa"/>
        </w:tblCellMar>
        <w:tblLook w:val="04A0" w:firstRow="1" w:lastRow="0" w:firstColumn="1" w:lastColumn="0" w:noHBand="0" w:noVBand="1"/>
      </w:tblPr>
      <w:tblGrid>
        <w:gridCol w:w="285"/>
        <w:gridCol w:w="285"/>
        <w:gridCol w:w="285"/>
        <w:gridCol w:w="285"/>
        <w:gridCol w:w="270"/>
      </w:tblGrid>
      <w:tr w:rsidR="006D57D3" w:rsidRPr="00D8773A" w14:paraId="26C9F511" w14:textId="77777777" w:rsidTr="00F83399">
        <w:trPr>
          <w:trHeight w:val="274"/>
          <w:tblCellSpacing w:w="0" w:type="dxa"/>
        </w:trPr>
        <w:tc>
          <w:tcPr>
            <w:tcW w:w="285" w:type="dxa"/>
            <w:tcMar>
              <w:top w:w="0" w:type="dxa"/>
              <w:left w:w="0" w:type="dxa"/>
              <w:bottom w:w="0" w:type="dxa"/>
              <w:right w:w="15" w:type="dxa"/>
            </w:tcMar>
            <w:vAlign w:val="center"/>
            <w:hideMark/>
          </w:tcPr>
          <w:p w14:paraId="6B1FFFC9" w14:textId="77777777" w:rsidR="006D57D3" w:rsidRPr="00D8773A" w:rsidRDefault="006D57D3" w:rsidP="00F83399">
            <w:pPr>
              <w:spacing w:line="252" w:lineRule="auto"/>
              <w:jc w:val="center"/>
              <w:rPr>
                <w:rFonts w:eastAsiaTheme="minorEastAsia"/>
                <w:noProof/>
                <w:sz w:val="20"/>
                <w:lang w:eastAsia="fr-FR"/>
              </w:rPr>
            </w:pPr>
            <w:r w:rsidRPr="00D8773A">
              <w:rPr>
                <w:rFonts w:ascii="Vinci Sans" w:eastAsiaTheme="minorEastAsia" w:hAnsi="Vinci Sans"/>
                <w:noProof/>
                <w:color w:val="0000FF"/>
                <w:sz w:val="20"/>
                <w:lang w:eastAsia="fr-FR"/>
              </w:rPr>
              <w:drawing>
                <wp:inline distT="0" distB="0" distL="0" distR="0" wp14:anchorId="2DE4AB71" wp14:editId="3891D2EA">
                  <wp:extent cx="152400" cy="152400"/>
                  <wp:effectExtent l="0" t="0" r="0" b="0"/>
                  <wp:docPr id="6" name="Imag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85" w:type="dxa"/>
            <w:tcMar>
              <w:top w:w="0" w:type="dxa"/>
              <w:left w:w="0" w:type="dxa"/>
              <w:bottom w:w="0" w:type="dxa"/>
              <w:right w:w="15" w:type="dxa"/>
            </w:tcMar>
            <w:vAlign w:val="center"/>
            <w:hideMark/>
          </w:tcPr>
          <w:p w14:paraId="45A4B423" w14:textId="77777777" w:rsidR="006D57D3" w:rsidRPr="00D8773A" w:rsidRDefault="006D57D3" w:rsidP="00F83399">
            <w:pPr>
              <w:spacing w:line="252" w:lineRule="auto"/>
              <w:jc w:val="center"/>
              <w:rPr>
                <w:rFonts w:ascii="Vinci Sans" w:eastAsiaTheme="minorEastAsia" w:hAnsi="Vinci Sans"/>
                <w:noProof/>
                <w:sz w:val="20"/>
                <w:lang w:eastAsia="fr-FR"/>
              </w:rPr>
            </w:pPr>
            <w:r w:rsidRPr="00D8773A">
              <w:rPr>
                <w:rFonts w:ascii="Vinci Sans" w:eastAsiaTheme="minorEastAsia" w:hAnsi="Vinci Sans"/>
                <w:noProof/>
                <w:color w:val="0000FF"/>
                <w:sz w:val="20"/>
                <w:lang w:eastAsia="fr-FR"/>
              </w:rPr>
              <w:drawing>
                <wp:inline distT="0" distB="0" distL="0" distR="0" wp14:anchorId="4D5522B7" wp14:editId="562199CD">
                  <wp:extent cx="152400" cy="152400"/>
                  <wp:effectExtent l="0" t="0" r="0" b="0"/>
                  <wp:docPr id="8" name="Image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85" w:type="dxa"/>
            <w:tcMar>
              <w:top w:w="0" w:type="dxa"/>
              <w:left w:w="0" w:type="dxa"/>
              <w:bottom w:w="0" w:type="dxa"/>
              <w:right w:w="15" w:type="dxa"/>
            </w:tcMar>
            <w:vAlign w:val="center"/>
            <w:hideMark/>
          </w:tcPr>
          <w:p w14:paraId="5A9F6EC4" w14:textId="77777777" w:rsidR="006D57D3" w:rsidRPr="00D8773A" w:rsidRDefault="006D57D3" w:rsidP="00F83399">
            <w:pPr>
              <w:spacing w:line="252" w:lineRule="auto"/>
              <w:jc w:val="center"/>
              <w:rPr>
                <w:rFonts w:ascii="Vinci Sans" w:eastAsiaTheme="minorEastAsia" w:hAnsi="Vinci Sans"/>
                <w:noProof/>
                <w:sz w:val="20"/>
                <w:lang w:eastAsia="fr-FR"/>
              </w:rPr>
            </w:pPr>
            <w:r w:rsidRPr="00D8773A">
              <w:rPr>
                <w:rFonts w:ascii="Vinci Sans" w:eastAsiaTheme="minorEastAsia" w:hAnsi="Vinci Sans"/>
                <w:noProof/>
                <w:color w:val="0000FF"/>
                <w:sz w:val="20"/>
                <w:lang w:eastAsia="fr-FR"/>
              </w:rPr>
              <w:drawing>
                <wp:inline distT="0" distB="0" distL="0" distR="0" wp14:anchorId="621626B6" wp14:editId="06D7FAC6">
                  <wp:extent cx="152400" cy="152400"/>
                  <wp:effectExtent l="0" t="0" r="0" b="0"/>
                  <wp:docPr id="7" name="Imag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85" w:type="dxa"/>
            <w:tcMar>
              <w:top w:w="0" w:type="dxa"/>
              <w:left w:w="0" w:type="dxa"/>
              <w:bottom w:w="0" w:type="dxa"/>
              <w:right w:w="15" w:type="dxa"/>
            </w:tcMar>
            <w:vAlign w:val="center"/>
            <w:hideMark/>
          </w:tcPr>
          <w:p w14:paraId="31693D0E" w14:textId="77777777" w:rsidR="006D57D3" w:rsidRPr="00D8773A" w:rsidRDefault="006D57D3" w:rsidP="00F83399">
            <w:pPr>
              <w:spacing w:line="252" w:lineRule="auto"/>
              <w:jc w:val="center"/>
              <w:rPr>
                <w:rFonts w:ascii="Vinci Sans" w:eastAsiaTheme="minorEastAsia" w:hAnsi="Vinci Sans"/>
                <w:noProof/>
                <w:sz w:val="20"/>
                <w:lang w:eastAsia="fr-FR"/>
              </w:rPr>
            </w:pPr>
            <w:r w:rsidRPr="00D8773A">
              <w:rPr>
                <w:rFonts w:ascii="Vinci Sans" w:eastAsiaTheme="minorEastAsia" w:hAnsi="Vinci Sans"/>
                <w:noProof/>
                <w:color w:val="0000FF"/>
                <w:sz w:val="20"/>
                <w:lang w:eastAsia="fr-FR"/>
              </w:rPr>
              <w:drawing>
                <wp:inline distT="0" distB="0" distL="0" distR="0" wp14:anchorId="26BC2B90" wp14:editId="1BDFFE8B">
                  <wp:extent cx="152400" cy="152400"/>
                  <wp:effectExtent l="0" t="0" r="0" b="0"/>
                  <wp:docPr id="5" name="Imag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70" w:type="dxa"/>
            <w:vAlign w:val="center"/>
            <w:hideMark/>
          </w:tcPr>
          <w:p w14:paraId="2D58127C" w14:textId="77777777" w:rsidR="006D57D3" w:rsidRPr="00D8773A" w:rsidRDefault="006D57D3" w:rsidP="00F83399">
            <w:pPr>
              <w:spacing w:line="252" w:lineRule="auto"/>
              <w:jc w:val="center"/>
              <w:rPr>
                <w:rFonts w:ascii="Vinci Sans" w:eastAsiaTheme="minorEastAsia" w:hAnsi="Vinci Sans"/>
                <w:noProof/>
                <w:sz w:val="20"/>
                <w:lang w:eastAsia="fr-FR"/>
              </w:rPr>
            </w:pPr>
            <w:r w:rsidRPr="00D8773A">
              <w:rPr>
                <w:rFonts w:ascii="Vinci Sans" w:eastAsiaTheme="minorEastAsia" w:hAnsi="Vinci Sans"/>
                <w:noProof/>
                <w:color w:val="0000FF"/>
                <w:sz w:val="20"/>
                <w:lang w:eastAsia="fr-FR"/>
              </w:rPr>
              <w:drawing>
                <wp:inline distT="0" distB="0" distL="0" distR="0" wp14:anchorId="7B34DC0E" wp14:editId="35EB02D1">
                  <wp:extent cx="152400" cy="152400"/>
                  <wp:effectExtent l="0" t="0" r="0" b="0"/>
                  <wp:docPr id="13" name="Imag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D57D3" w:rsidRPr="00D8773A" w14:paraId="05B2F9A7" w14:textId="77777777" w:rsidTr="00F83399">
        <w:trPr>
          <w:trHeight w:val="274"/>
          <w:tblCellSpacing w:w="0" w:type="dxa"/>
        </w:trPr>
        <w:tc>
          <w:tcPr>
            <w:tcW w:w="285" w:type="dxa"/>
            <w:tcMar>
              <w:top w:w="0" w:type="dxa"/>
              <w:left w:w="0" w:type="dxa"/>
              <w:bottom w:w="0" w:type="dxa"/>
              <w:right w:w="15" w:type="dxa"/>
            </w:tcMar>
            <w:vAlign w:val="center"/>
          </w:tcPr>
          <w:p w14:paraId="2CCB54BC" w14:textId="77777777" w:rsidR="006D57D3" w:rsidRDefault="006D57D3" w:rsidP="00F83399">
            <w:pPr>
              <w:spacing w:line="252" w:lineRule="auto"/>
              <w:jc w:val="center"/>
              <w:rPr>
                <w:rFonts w:ascii="Vinci Sans" w:eastAsiaTheme="minorEastAsia" w:hAnsi="Vinci Sans"/>
                <w:noProof/>
                <w:color w:val="0000FF"/>
                <w:sz w:val="20"/>
                <w:lang w:eastAsia="fr-FR"/>
              </w:rPr>
            </w:pPr>
          </w:p>
          <w:p w14:paraId="0F7E75AF" w14:textId="77777777" w:rsidR="006D57D3" w:rsidRDefault="006D57D3" w:rsidP="00F83399">
            <w:pPr>
              <w:spacing w:line="252" w:lineRule="auto"/>
              <w:jc w:val="center"/>
              <w:rPr>
                <w:rFonts w:ascii="Vinci Sans" w:eastAsiaTheme="minorEastAsia" w:hAnsi="Vinci Sans"/>
                <w:noProof/>
                <w:color w:val="0000FF"/>
                <w:sz w:val="20"/>
                <w:lang w:eastAsia="fr-FR"/>
              </w:rPr>
            </w:pPr>
          </w:p>
          <w:p w14:paraId="017575B2" w14:textId="77777777" w:rsidR="006D57D3" w:rsidRPr="00D8773A" w:rsidRDefault="006D57D3" w:rsidP="00F83399">
            <w:pPr>
              <w:spacing w:line="252" w:lineRule="auto"/>
              <w:jc w:val="center"/>
              <w:rPr>
                <w:rFonts w:ascii="Vinci Sans" w:eastAsiaTheme="minorEastAsia" w:hAnsi="Vinci Sans"/>
                <w:noProof/>
                <w:color w:val="0000FF"/>
                <w:sz w:val="20"/>
                <w:lang w:eastAsia="fr-FR"/>
              </w:rPr>
            </w:pPr>
          </w:p>
        </w:tc>
        <w:tc>
          <w:tcPr>
            <w:tcW w:w="285" w:type="dxa"/>
            <w:tcMar>
              <w:top w:w="0" w:type="dxa"/>
              <w:left w:w="0" w:type="dxa"/>
              <w:bottom w:w="0" w:type="dxa"/>
              <w:right w:w="15" w:type="dxa"/>
            </w:tcMar>
            <w:vAlign w:val="center"/>
          </w:tcPr>
          <w:p w14:paraId="1230ED35" w14:textId="77777777" w:rsidR="006D57D3" w:rsidRPr="00D8773A" w:rsidRDefault="006D57D3" w:rsidP="00F83399">
            <w:pPr>
              <w:spacing w:line="252" w:lineRule="auto"/>
              <w:jc w:val="center"/>
              <w:rPr>
                <w:rFonts w:ascii="Vinci Sans" w:eastAsiaTheme="minorEastAsia" w:hAnsi="Vinci Sans"/>
                <w:noProof/>
                <w:color w:val="0000FF"/>
                <w:sz w:val="20"/>
                <w:lang w:eastAsia="fr-FR"/>
              </w:rPr>
            </w:pPr>
          </w:p>
        </w:tc>
        <w:tc>
          <w:tcPr>
            <w:tcW w:w="285" w:type="dxa"/>
            <w:tcMar>
              <w:top w:w="0" w:type="dxa"/>
              <w:left w:w="0" w:type="dxa"/>
              <w:bottom w:w="0" w:type="dxa"/>
              <w:right w:w="15" w:type="dxa"/>
            </w:tcMar>
            <w:vAlign w:val="center"/>
          </w:tcPr>
          <w:p w14:paraId="7A08BEED" w14:textId="77777777" w:rsidR="006D57D3" w:rsidRPr="00D8773A" w:rsidRDefault="006D57D3" w:rsidP="00F83399">
            <w:pPr>
              <w:spacing w:line="252" w:lineRule="auto"/>
              <w:jc w:val="center"/>
              <w:rPr>
                <w:rFonts w:ascii="Vinci Sans" w:eastAsiaTheme="minorEastAsia" w:hAnsi="Vinci Sans"/>
                <w:noProof/>
                <w:color w:val="0000FF"/>
                <w:sz w:val="20"/>
                <w:lang w:eastAsia="fr-FR"/>
              </w:rPr>
            </w:pPr>
          </w:p>
        </w:tc>
        <w:tc>
          <w:tcPr>
            <w:tcW w:w="285" w:type="dxa"/>
            <w:tcMar>
              <w:top w:w="0" w:type="dxa"/>
              <w:left w:w="0" w:type="dxa"/>
              <w:bottom w:w="0" w:type="dxa"/>
              <w:right w:w="15" w:type="dxa"/>
            </w:tcMar>
            <w:vAlign w:val="center"/>
          </w:tcPr>
          <w:p w14:paraId="3C918A0A" w14:textId="77777777" w:rsidR="006D57D3" w:rsidRPr="00D8773A" w:rsidRDefault="006D57D3" w:rsidP="00F83399">
            <w:pPr>
              <w:spacing w:line="252" w:lineRule="auto"/>
              <w:jc w:val="center"/>
              <w:rPr>
                <w:rFonts w:ascii="Vinci Sans" w:eastAsiaTheme="minorEastAsia" w:hAnsi="Vinci Sans"/>
                <w:noProof/>
                <w:color w:val="0000FF"/>
                <w:sz w:val="20"/>
                <w:lang w:eastAsia="fr-FR"/>
              </w:rPr>
            </w:pPr>
          </w:p>
        </w:tc>
        <w:tc>
          <w:tcPr>
            <w:tcW w:w="270" w:type="dxa"/>
            <w:vAlign w:val="center"/>
          </w:tcPr>
          <w:p w14:paraId="36696E23" w14:textId="77777777" w:rsidR="006D57D3" w:rsidRPr="00D8773A" w:rsidRDefault="006D57D3" w:rsidP="00F83399">
            <w:pPr>
              <w:spacing w:line="252" w:lineRule="auto"/>
              <w:jc w:val="center"/>
              <w:rPr>
                <w:rFonts w:ascii="Vinci Sans" w:eastAsiaTheme="minorEastAsia" w:hAnsi="Vinci Sans"/>
                <w:noProof/>
                <w:color w:val="0000FF"/>
                <w:sz w:val="20"/>
                <w:lang w:eastAsia="fr-FR"/>
              </w:rPr>
            </w:pPr>
          </w:p>
        </w:tc>
      </w:tr>
    </w:tbl>
    <w:p w14:paraId="3E203357" w14:textId="77777777" w:rsidR="006D57D3" w:rsidRPr="002A6785" w:rsidRDefault="006D57D3" w:rsidP="006D57D3">
      <w:pPr>
        <w:spacing w:line="276" w:lineRule="auto"/>
      </w:pPr>
      <w:r w:rsidRPr="002A6785">
        <w:rPr>
          <w:rFonts w:asciiTheme="majorHAnsi" w:hAnsiTheme="majorHAnsi"/>
          <w:sz w:val="14"/>
          <w:szCs w:val="14"/>
        </w:rPr>
        <w:t>A propos de BROWNFIELDS, PREMIER OPÉRATEUR IMMOBILIER À ARTIFICIALISATION NÉGATIVE</w:t>
      </w:r>
    </w:p>
    <w:p w14:paraId="745E68DE" w14:textId="77777777" w:rsidR="006D57D3" w:rsidRPr="002A6785" w:rsidRDefault="006D57D3" w:rsidP="006D57D3">
      <w:pPr>
        <w:rPr>
          <w:rFonts w:ascii="Vinci Sans Light" w:hAnsi="Vinci Sans Light"/>
          <w:sz w:val="14"/>
          <w:szCs w:val="14"/>
        </w:rPr>
      </w:pPr>
      <w:r w:rsidRPr="002A6785">
        <w:rPr>
          <w:rFonts w:ascii="Vinci Sans Light" w:hAnsi="Vinci Sans Light"/>
          <w:sz w:val="14"/>
          <w:szCs w:val="14"/>
        </w:rPr>
        <w:t>Puisqu’ils sont développés exclusivement sur des sites à reconvertir, nos projets sont par nature des investissements à impact positif. Ils luttent contre l’artificialisation des sols en reconstruisant la ville sur la ville. Pionniers de la reconversion des friches de toute nature, nous les renaturons en y concevant des projets immobiliers équilibrés. Cet engagement contre l’artificialisation des sols nous a déjà permis de préserver plus de 665 hectares d’espaces naturels en 10 ans. Nous pensons des projets immobiliers utiles pour la ville, qui contribuent à la rendre plus durable, résiliente et productive. Pour cela, nous imaginons des programmations inclusives pour tous les habitants, que ce soit en résidences gérées, en logements à vocation sociale ou en accession libre. Nous développons des zones d’activités répondant à ces exigences environnementale et sociétale tout en étant créatrices d’emplois locaux. Et, parce que nous croyons dans la forte valeur ajoutée de nos projets, parce que nous voulons qu’ils participent pleinement à la régénération des villes, nous n’hésitons pas à y investir sur le long terme au travers de foncières, aux côtés d’investisseurs institutionnels partageant nos valeurs.</w:t>
      </w:r>
    </w:p>
    <w:p w14:paraId="64EA0BCD" w14:textId="77777777" w:rsidR="006D57D3" w:rsidRPr="002A6785" w:rsidRDefault="006D57D3" w:rsidP="006D57D3">
      <w:pPr>
        <w:rPr>
          <w:rFonts w:ascii="Vinci Sans Light" w:hAnsi="Vinci Sans Light"/>
          <w:sz w:val="14"/>
          <w:szCs w:val="14"/>
        </w:rPr>
      </w:pPr>
      <w:r w:rsidRPr="002A6785">
        <w:rPr>
          <w:rFonts w:ascii="Vinci Sans Light" w:hAnsi="Vinci Sans Light"/>
          <w:sz w:val="14"/>
          <w:szCs w:val="14"/>
        </w:rPr>
        <w:t>Brownfields - siège social situé au 7 rue Balzac 75008 Paris. RCS : Paris B 490 897 071.</w:t>
      </w:r>
    </w:p>
    <w:p w14:paraId="01D39AC2" w14:textId="77777777" w:rsidR="006D57D3" w:rsidRPr="006D57D3" w:rsidRDefault="006D57D3" w:rsidP="006D57D3">
      <w:pPr>
        <w:rPr>
          <w:rStyle w:val="Lienhypertexte"/>
          <w:rFonts w:cs="Calibri"/>
          <w:sz w:val="20"/>
        </w:rPr>
      </w:pPr>
      <w:r w:rsidRPr="002A6785">
        <w:rPr>
          <w:rStyle w:val="Lienhypertexte"/>
          <w:rFonts w:cs="Calibri"/>
          <w:sz w:val="20"/>
        </w:rPr>
        <w:t>brownfields.fr</w:t>
      </w:r>
    </w:p>
    <w:p w14:paraId="1B231448" w14:textId="77777777" w:rsidR="00232496" w:rsidRDefault="00232496" w:rsidP="00F14541">
      <w:pPr>
        <w:spacing w:line="276" w:lineRule="auto"/>
        <w:jc w:val="left"/>
      </w:pPr>
    </w:p>
    <w:p w14:paraId="0EACDF7C" w14:textId="77777777" w:rsidR="00232496" w:rsidRDefault="00232496" w:rsidP="00F14541">
      <w:pPr>
        <w:spacing w:line="276" w:lineRule="auto"/>
        <w:jc w:val="left"/>
      </w:pPr>
    </w:p>
    <w:tbl>
      <w:tblPr>
        <w:tblStyle w:val="Grilledutableau"/>
        <w:tblpPr w:leftFromText="141" w:rightFromText="141" w:vertAnchor="text" w:horzAnchor="margin" w:tblpXSpec="right" w:tblpY="1430"/>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8"/>
        <w:gridCol w:w="2553"/>
        <w:gridCol w:w="7143"/>
      </w:tblGrid>
      <w:tr w:rsidR="00232496" w14:paraId="1FDB0A9E" w14:textId="77777777" w:rsidTr="00183C5F">
        <w:trPr>
          <w:cantSplit/>
          <w:trHeight w:val="57"/>
        </w:trPr>
        <w:tc>
          <w:tcPr>
            <w:tcW w:w="878" w:type="dxa"/>
            <w:shd w:val="clear" w:color="auto" w:fill="004489" w:themeFill="text2"/>
            <w:vAlign w:val="center"/>
          </w:tcPr>
          <w:p w14:paraId="6316CA8B" w14:textId="77777777" w:rsidR="00232496" w:rsidRDefault="00232496" w:rsidP="00183C5F">
            <w:pPr>
              <w:pStyle w:val="Pieddepage"/>
            </w:pPr>
          </w:p>
        </w:tc>
        <w:tc>
          <w:tcPr>
            <w:tcW w:w="2553" w:type="dxa"/>
            <w:vAlign w:val="center"/>
          </w:tcPr>
          <w:p w14:paraId="7C65102F" w14:textId="77777777" w:rsidR="00232496" w:rsidRPr="002F5174" w:rsidRDefault="00232496" w:rsidP="00183C5F">
            <w:pPr>
              <w:pStyle w:val="Pieddepage"/>
              <w:spacing w:line="216" w:lineRule="auto"/>
              <w:ind w:left="340"/>
              <w:rPr>
                <w:rFonts w:asciiTheme="majorHAnsi" w:hAnsiTheme="majorHAnsi"/>
                <w:b/>
                <w:bCs/>
                <w:sz w:val="26"/>
                <w:szCs w:val="26"/>
              </w:rPr>
            </w:pPr>
            <w:r w:rsidRPr="002F5174">
              <w:rPr>
                <w:rFonts w:asciiTheme="majorHAnsi" w:hAnsiTheme="majorHAnsi"/>
                <w:b/>
                <w:bCs/>
                <w:sz w:val="26"/>
                <w:szCs w:val="26"/>
              </w:rPr>
              <w:t>CONTACT</w:t>
            </w:r>
          </w:p>
        </w:tc>
        <w:tc>
          <w:tcPr>
            <w:tcW w:w="7143" w:type="dxa"/>
            <w:vAlign w:val="center"/>
          </w:tcPr>
          <w:p w14:paraId="4C2AC52C" w14:textId="77777777" w:rsidR="00232496" w:rsidRPr="00EA6282" w:rsidRDefault="00232496" w:rsidP="00183C5F">
            <w:pPr>
              <w:pStyle w:val="Pieddepage"/>
              <w:rPr>
                <w:sz w:val="20"/>
              </w:rPr>
            </w:pPr>
            <w:r>
              <w:rPr>
                <w:sz w:val="20"/>
                <w:szCs w:val="22"/>
              </w:rPr>
              <w:t xml:space="preserve">Caroline Maurey - </w:t>
            </w:r>
            <w:r w:rsidRPr="00FC5107">
              <w:rPr>
                <w:sz w:val="20"/>
                <w:szCs w:val="22"/>
              </w:rPr>
              <w:t>Tél. :</w:t>
            </w:r>
            <w:r>
              <w:rPr>
                <w:sz w:val="20"/>
                <w:szCs w:val="22"/>
              </w:rPr>
              <w:t xml:space="preserve"> 06 69 95 06 88 – </w:t>
            </w:r>
            <w:hyperlink r:id="rId23" w:history="1">
              <w:r w:rsidRPr="00907CE3">
                <w:rPr>
                  <w:rStyle w:val="Lienhypertexte"/>
                  <w:sz w:val="20"/>
                  <w:szCs w:val="22"/>
                </w:rPr>
                <w:t>caroline.maurey@vinci-immobilier.com</w:t>
              </w:r>
            </w:hyperlink>
            <w:r>
              <w:rPr>
                <w:rStyle w:val="Lienhypertexte"/>
                <w:color w:val="000000" w:themeColor="text1"/>
                <w:sz w:val="20"/>
                <w:szCs w:val="22"/>
              </w:rPr>
              <w:t xml:space="preserve"> </w:t>
            </w:r>
          </w:p>
        </w:tc>
      </w:tr>
    </w:tbl>
    <w:p w14:paraId="26312BAA" w14:textId="4764D42D" w:rsidR="00FE6236" w:rsidRDefault="00FE6236" w:rsidP="00F14541">
      <w:pPr>
        <w:spacing w:line="276" w:lineRule="auto"/>
        <w:jc w:val="left"/>
      </w:pPr>
    </w:p>
    <w:p w14:paraId="022C9DC4" w14:textId="04AD0C66" w:rsidR="00FE6236" w:rsidRDefault="00FE6236" w:rsidP="00F14541">
      <w:pPr>
        <w:spacing w:line="276" w:lineRule="auto"/>
        <w:jc w:val="left"/>
      </w:pPr>
    </w:p>
    <w:p w14:paraId="7DC14E44" w14:textId="7BE473C9" w:rsidR="00FE6236" w:rsidRDefault="00FE6236" w:rsidP="00F14541">
      <w:pPr>
        <w:spacing w:line="276" w:lineRule="auto"/>
        <w:jc w:val="left"/>
      </w:pPr>
    </w:p>
    <w:p w14:paraId="6E506059" w14:textId="77777777" w:rsidR="005428D2" w:rsidRDefault="005428D2" w:rsidP="00F14541">
      <w:pPr>
        <w:spacing w:line="276" w:lineRule="auto"/>
        <w:jc w:val="left"/>
      </w:pPr>
    </w:p>
    <w:p w14:paraId="7118B003" w14:textId="77777777" w:rsidR="005428D2" w:rsidRDefault="005428D2" w:rsidP="00F14541">
      <w:pPr>
        <w:spacing w:line="276" w:lineRule="auto"/>
        <w:jc w:val="left"/>
      </w:pPr>
    </w:p>
    <w:p w14:paraId="063AE913" w14:textId="77777777" w:rsidR="00FE6236" w:rsidRDefault="00FE6236" w:rsidP="00F14541">
      <w:pPr>
        <w:spacing w:line="276" w:lineRule="auto"/>
        <w:jc w:val="left"/>
      </w:pPr>
    </w:p>
    <w:sectPr w:rsidR="00FE6236" w:rsidSect="00EE508D">
      <w:headerReference w:type="default" r:id="rId24"/>
      <w:footerReference w:type="even" r:id="rId25"/>
      <w:footerReference w:type="default" r:id="rId26"/>
      <w:pgSz w:w="11906" w:h="16838" w:code="9"/>
      <w:pgMar w:top="1701" w:right="1304" w:bottom="1134" w:left="1304"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96E10" w14:textId="77777777" w:rsidR="00F563B6" w:rsidRDefault="00F563B6" w:rsidP="00DF1FA4">
      <w:r>
        <w:separator/>
      </w:r>
    </w:p>
  </w:endnote>
  <w:endnote w:type="continuationSeparator" w:id="0">
    <w:p w14:paraId="5C3FD3E8" w14:textId="77777777" w:rsidR="00F563B6" w:rsidRDefault="00F563B6" w:rsidP="00DF1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inci Sans">
    <w:panose1 w:val="02000000000000000000"/>
    <w:charset w:val="00"/>
    <w:family w:val="modern"/>
    <w:notTrueType/>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Vinci Sans Expanded Medium">
    <w:altName w:val="Calibri"/>
    <w:panose1 w:val="00000000000000000000"/>
    <w:charset w:val="4D"/>
    <w:family w:val="swiss"/>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nci Sans Medium">
    <w:panose1 w:val="02000000000000000000"/>
    <w:charset w:val="00"/>
    <w:family w:val="modern"/>
    <w:notTrueType/>
    <w:pitch w:val="variable"/>
    <w:sig w:usb0="A00000AF" w:usb1="4000205B" w:usb2="00000000" w:usb3="00000000" w:csb0="0000009B" w:csb1="00000000"/>
  </w:font>
  <w:font w:name="Vinci Sans Light">
    <w:panose1 w:val="02000000000000000000"/>
    <w:charset w:val="00"/>
    <w:family w:val="modern"/>
    <w:notTrueType/>
    <w:pitch w:val="variable"/>
    <w:sig w:usb0="A00000AF" w:usb1="4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43071914"/>
      <w:docPartObj>
        <w:docPartGallery w:val="Page Numbers (Bottom of Page)"/>
        <w:docPartUnique/>
      </w:docPartObj>
    </w:sdtPr>
    <w:sdtEndPr>
      <w:rPr>
        <w:rStyle w:val="Numrodepage"/>
      </w:rPr>
    </w:sdtEndPr>
    <w:sdtContent>
      <w:p w14:paraId="57255CC2" w14:textId="77777777" w:rsidR="009D4424" w:rsidRDefault="009D4424" w:rsidP="00134D2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F6471CA" w14:textId="77777777" w:rsidR="009D4424" w:rsidRDefault="009D4424" w:rsidP="009D442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72517146"/>
      <w:docPartObj>
        <w:docPartGallery w:val="Page Numbers (Bottom of Page)"/>
        <w:docPartUnique/>
      </w:docPartObj>
    </w:sdtPr>
    <w:sdtEndPr>
      <w:rPr>
        <w:rStyle w:val="Numrodepage"/>
      </w:rPr>
    </w:sdtEndPr>
    <w:sdtContent>
      <w:p w14:paraId="2FC5544C" w14:textId="77777777" w:rsidR="009D4424" w:rsidRDefault="009D4424" w:rsidP="00134D2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4DFC102F" w14:textId="1CBA42CB" w:rsidR="009D4424" w:rsidRPr="009D4424" w:rsidRDefault="00F7653D" w:rsidP="00F14541">
    <w:pPr>
      <w:pStyle w:val="Pieddepage"/>
      <w:spacing w:after="600"/>
      <w:jc w:val="both"/>
      <w:rPr>
        <w:rFonts w:ascii="Vinci Sans Light" w:hAnsi="Vinci Sans Light"/>
        <w:sz w:val="14"/>
        <w:szCs w:val="14"/>
      </w:rPr>
    </w:pPr>
    <w:r w:rsidRPr="009D4424">
      <w:rPr>
        <w:rFonts w:ascii="Vinci Sans Light" w:hAnsi="Vinci Sans Light"/>
        <w:i/>
        <w:iCs/>
        <w:sz w:val="14"/>
        <w:szCs w:val="14"/>
      </w:rPr>
      <w:t>Ce communiqué de presse est un document d’information officiel du groupe VINCI</w:t>
    </w:r>
    <w:r w:rsidR="00717F84">
      <w:rPr>
        <w:rFonts w:ascii="Vinci Sans Light" w:hAnsi="Vinci Sans Light"/>
        <w:i/>
        <w:iCs/>
        <w:sz w:val="14"/>
        <w:szCs w:val="14"/>
      </w:rPr>
      <w:t xml:space="preserve"> Immobilier.</w:t>
    </w:r>
  </w:p>
  <w:p w14:paraId="13EA9D26" w14:textId="77777777" w:rsidR="00840982" w:rsidRDefault="00840982" w:rsidP="00840982">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1664D" w14:textId="77777777" w:rsidR="00F563B6" w:rsidRDefault="00F563B6" w:rsidP="00DF1FA4"/>
  </w:footnote>
  <w:footnote w:type="continuationSeparator" w:id="0">
    <w:p w14:paraId="15328BAD" w14:textId="77777777" w:rsidR="00F563B6" w:rsidRDefault="00F563B6" w:rsidP="00DF1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A8A8" w14:textId="32169302" w:rsidR="00F7653D" w:rsidRDefault="00F7653D" w:rsidP="00F7653D">
    <w:pPr>
      <w:pStyle w:val="En-tte"/>
    </w:pPr>
  </w:p>
  <w:p w14:paraId="6F0DFE62" w14:textId="4E2A0F45" w:rsidR="00F7653D" w:rsidRPr="000E60CF" w:rsidRDefault="006D57D3" w:rsidP="00F7653D">
    <w:pPr>
      <w:pStyle w:val="En-tte"/>
    </w:pPr>
    <w:r>
      <w:rPr>
        <w:noProof/>
      </w:rPr>
      <w:drawing>
        <wp:anchor distT="0" distB="0" distL="114300" distR="114300" simplePos="0" relativeHeight="251660288" behindDoc="0" locked="0" layoutInCell="1" allowOverlap="1" wp14:anchorId="205B4C00" wp14:editId="3AE270C7">
          <wp:simplePos x="0" y="0"/>
          <wp:positionH relativeFrom="margin">
            <wp:posOffset>-485775</wp:posOffset>
          </wp:positionH>
          <wp:positionV relativeFrom="topMargin">
            <wp:posOffset>337820</wp:posOffset>
          </wp:positionV>
          <wp:extent cx="1591310" cy="506095"/>
          <wp:effectExtent l="0" t="0" r="8890" b="8255"/>
          <wp:wrapSquare wrapText="bothSides"/>
          <wp:docPr id="513481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1827" name="Ima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310" cy="506095"/>
                  </a:xfrm>
                  <a:prstGeom prst="rect">
                    <a:avLst/>
                  </a:prstGeom>
                  <a:noFill/>
                </pic:spPr>
              </pic:pic>
            </a:graphicData>
          </a:graphic>
        </wp:anchor>
      </w:drawing>
    </w:r>
  </w:p>
  <w:p w14:paraId="12492172" w14:textId="6B9BAC33" w:rsidR="00DF1FA4" w:rsidRPr="00F7653D" w:rsidRDefault="00231657" w:rsidP="00F7653D">
    <w:pPr>
      <w:pStyle w:val="En-tte"/>
    </w:pPr>
    <w:r>
      <w:rPr>
        <w:noProof/>
      </w:rPr>
      <w:drawing>
        <wp:anchor distT="0" distB="0" distL="114300" distR="114300" simplePos="0" relativeHeight="251658240" behindDoc="0" locked="0" layoutInCell="1" allowOverlap="1" wp14:anchorId="62B533D7" wp14:editId="4B8BC8B3">
          <wp:simplePos x="0" y="0"/>
          <wp:positionH relativeFrom="margin">
            <wp:posOffset>4707255</wp:posOffset>
          </wp:positionH>
          <wp:positionV relativeFrom="margin">
            <wp:posOffset>-795020</wp:posOffset>
          </wp:positionV>
          <wp:extent cx="1788160" cy="648335"/>
          <wp:effectExtent l="0" t="0" r="2540" b="0"/>
          <wp:wrapSquare wrapText="bothSides"/>
          <wp:docPr id="1"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ogo, Graphique&#10;&#10;Description générée automatiquement"/>
                  <pic:cNvPicPr/>
                </pic:nvPicPr>
                <pic:blipFill>
                  <a:blip r:embed="rId2"/>
                  <a:stretch>
                    <a:fillRect/>
                  </a:stretch>
                </pic:blipFill>
                <pic:spPr>
                  <a:xfrm>
                    <a:off x="0" y="0"/>
                    <a:ext cx="1788160"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3C64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24D1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C8EA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401C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3898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5AC9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BE9D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1AE7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C25C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C8F9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858B7"/>
    <w:multiLevelType w:val="multilevel"/>
    <w:tmpl w:val="52DE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6639F3"/>
    <w:multiLevelType w:val="hybridMultilevel"/>
    <w:tmpl w:val="E2DC9F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8727EC"/>
    <w:multiLevelType w:val="hybridMultilevel"/>
    <w:tmpl w:val="6E44C6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C5139F"/>
    <w:multiLevelType w:val="hybridMultilevel"/>
    <w:tmpl w:val="CB5AB59A"/>
    <w:lvl w:ilvl="0" w:tplc="E9D2E264">
      <w:start w:val="2019"/>
      <w:numFmt w:val="bullet"/>
      <w:lvlText w:val="-"/>
      <w:lvlJc w:val="left"/>
      <w:pPr>
        <w:ind w:left="720" w:hanging="360"/>
      </w:pPr>
      <w:rPr>
        <w:rFonts w:ascii="Vinci Sans" w:eastAsia="Times New Roman" w:hAnsi="Vinci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B64771"/>
    <w:multiLevelType w:val="multilevel"/>
    <w:tmpl w:val="CE0C3184"/>
    <w:lvl w:ilvl="0">
      <w:start w:val="1"/>
      <w:numFmt w:val="bullet"/>
      <w:lvlText w:val=""/>
      <w:lvlJc w:val="left"/>
      <w:pPr>
        <w:ind w:left="227" w:hanging="227"/>
      </w:pPr>
      <w:rPr>
        <w:rFonts w:ascii="Wingdings" w:hAnsi="Wingdings" w:hint="default"/>
        <w:color w:val="004489" w:themeColor="text2"/>
        <w:sz w:val="16"/>
        <w:szCs w:val="16"/>
      </w:rPr>
    </w:lvl>
    <w:lvl w:ilvl="1">
      <w:start w:val="1"/>
      <w:numFmt w:val="bullet"/>
      <w:pStyle w:val="VPuce2"/>
      <w:lvlText w:val=""/>
      <w:lvlJc w:val="left"/>
      <w:pPr>
        <w:ind w:left="360" w:hanging="360"/>
      </w:pPr>
      <w:rPr>
        <w:rFonts w:ascii="Wingdings" w:hAnsi="Wingdings" w:hint="default"/>
        <w:color w:val="004489" w:themeColor="text2"/>
      </w:rPr>
    </w:lvl>
    <w:lvl w:ilvl="2">
      <w:start w:val="1"/>
      <w:numFmt w:val="lowerRoman"/>
      <w:lvlText w:val="%3)"/>
      <w:lvlJc w:val="left"/>
      <w:pPr>
        <w:tabs>
          <w:tab w:val="num" w:pos="57"/>
        </w:tabs>
        <w:ind w:left="227" w:hanging="227"/>
      </w:pPr>
      <w:rPr>
        <w:rFonts w:hint="default"/>
      </w:rPr>
    </w:lvl>
    <w:lvl w:ilvl="3">
      <w:start w:val="1"/>
      <w:numFmt w:val="decimal"/>
      <w:lvlText w:val="(%4)"/>
      <w:lvlJc w:val="left"/>
      <w:pPr>
        <w:tabs>
          <w:tab w:val="num" w:pos="57"/>
        </w:tabs>
        <w:ind w:left="227" w:hanging="227"/>
      </w:pPr>
      <w:rPr>
        <w:rFonts w:hint="default"/>
      </w:rPr>
    </w:lvl>
    <w:lvl w:ilvl="4">
      <w:start w:val="1"/>
      <w:numFmt w:val="lowerLetter"/>
      <w:lvlText w:val="(%5)"/>
      <w:lvlJc w:val="left"/>
      <w:pPr>
        <w:tabs>
          <w:tab w:val="num" w:pos="57"/>
        </w:tabs>
        <w:ind w:left="227" w:hanging="227"/>
      </w:pPr>
      <w:rPr>
        <w:rFonts w:hint="default"/>
      </w:rPr>
    </w:lvl>
    <w:lvl w:ilvl="5">
      <w:start w:val="1"/>
      <w:numFmt w:val="lowerRoman"/>
      <w:lvlText w:val="(%6)"/>
      <w:lvlJc w:val="left"/>
      <w:pPr>
        <w:tabs>
          <w:tab w:val="num" w:pos="57"/>
        </w:tabs>
        <w:ind w:left="227" w:hanging="227"/>
      </w:pPr>
      <w:rPr>
        <w:rFonts w:hint="default"/>
      </w:rPr>
    </w:lvl>
    <w:lvl w:ilvl="6">
      <w:start w:val="1"/>
      <w:numFmt w:val="decimal"/>
      <w:lvlText w:val="%7."/>
      <w:lvlJc w:val="left"/>
      <w:pPr>
        <w:tabs>
          <w:tab w:val="num" w:pos="57"/>
        </w:tabs>
        <w:ind w:left="227" w:hanging="227"/>
      </w:pPr>
      <w:rPr>
        <w:rFonts w:hint="default"/>
      </w:rPr>
    </w:lvl>
    <w:lvl w:ilvl="7">
      <w:start w:val="1"/>
      <w:numFmt w:val="lowerLetter"/>
      <w:lvlText w:val="%8."/>
      <w:lvlJc w:val="left"/>
      <w:pPr>
        <w:tabs>
          <w:tab w:val="num" w:pos="57"/>
        </w:tabs>
        <w:ind w:left="227" w:hanging="227"/>
      </w:pPr>
      <w:rPr>
        <w:rFonts w:hint="default"/>
      </w:rPr>
    </w:lvl>
    <w:lvl w:ilvl="8">
      <w:start w:val="1"/>
      <w:numFmt w:val="lowerRoman"/>
      <w:lvlText w:val="%9."/>
      <w:lvlJc w:val="left"/>
      <w:pPr>
        <w:tabs>
          <w:tab w:val="num" w:pos="57"/>
        </w:tabs>
        <w:ind w:left="227" w:hanging="227"/>
      </w:pPr>
      <w:rPr>
        <w:rFonts w:hint="default"/>
      </w:rPr>
    </w:lvl>
  </w:abstractNum>
  <w:abstractNum w:abstractNumId="15" w15:restartNumberingAfterBreak="0">
    <w:nsid w:val="69077135"/>
    <w:multiLevelType w:val="multilevel"/>
    <w:tmpl w:val="A7B204A8"/>
    <w:lvl w:ilvl="0">
      <w:start w:val="1"/>
      <w:numFmt w:val="bullet"/>
      <w:pStyle w:val="VPuce"/>
      <w:lvlText w:val=""/>
      <w:lvlJc w:val="left"/>
      <w:pPr>
        <w:ind w:left="227" w:hanging="227"/>
      </w:pPr>
      <w:rPr>
        <w:rFonts w:ascii="Wingdings" w:hAnsi="Wingdings" w:hint="default"/>
        <w:color w:val="004489" w:themeColor="text2"/>
        <w:sz w:val="16"/>
        <w:szCs w:val="16"/>
      </w:rPr>
    </w:lvl>
    <w:lvl w:ilvl="1">
      <w:start w:val="1"/>
      <w:numFmt w:val="lowerLetter"/>
      <w:lvlText w:val="%2)"/>
      <w:lvlJc w:val="left"/>
      <w:pPr>
        <w:tabs>
          <w:tab w:val="num" w:pos="57"/>
        </w:tabs>
        <w:ind w:left="227" w:hanging="227"/>
      </w:pPr>
      <w:rPr>
        <w:rFonts w:hint="default"/>
      </w:rPr>
    </w:lvl>
    <w:lvl w:ilvl="2">
      <w:start w:val="1"/>
      <w:numFmt w:val="lowerRoman"/>
      <w:lvlText w:val="%3)"/>
      <w:lvlJc w:val="left"/>
      <w:pPr>
        <w:tabs>
          <w:tab w:val="num" w:pos="57"/>
        </w:tabs>
        <w:ind w:left="227" w:hanging="227"/>
      </w:pPr>
      <w:rPr>
        <w:rFonts w:hint="default"/>
      </w:rPr>
    </w:lvl>
    <w:lvl w:ilvl="3">
      <w:start w:val="1"/>
      <w:numFmt w:val="decimal"/>
      <w:lvlText w:val="(%4)"/>
      <w:lvlJc w:val="left"/>
      <w:pPr>
        <w:tabs>
          <w:tab w:val="num" w:pos="57"/>
        </w:tabs>
        <w:ind w:left="227" w:hanging="227"/>
      </w:pPr>
      <w:rPr>
        <w:rFonts w:hint="default"/>
      </w:rPr>
    </w:lvl>
    <w:lvl w:ilvl="4">
      <w:start w:val="1"/>
      <w:numFmt w:val="lowerLetter"/>
      <w:lvlText w:val="(%5)"/>
      <w:lvlJc w:val="left"/>
      <w:pPr>
        <w:tabs>
          <w:tab w:val="num" w:pos="57"/>
        </w:tabs>
        <w:ind w:left="227" w:hanging="227"/>
      </w:pPr>
      <w:rPr>
        <w:rFonts w:hint="default"/>
      </w:rPr>
    </w:lvl>
    <w:lvl w:ilvl="5">
      <w:start w:val="1"/>
      <w:numFmt w:val="lowerRoman"/>
      <w:lvlText w:val="(%6)"/>
      <w:lvlJc w:val="left"/>
      <w:pPr>
        <w:tabs>
          <w:tab w:val="num" w:pos="57"/>
        </w:tabs>
        <w:ind w:left="227" w:hanging="227"/>
      </w:pPr>
      <w:rPr>
        <w:rFonts w:hint="default"/>
      </w:rPr>
    </w:lvl>
    <w:lvl w:ilvl="6">
      <w:start w:val="1"/>
      <w:numFmt w:val="decimal"/>
      <w:lvlText w:val="%7."/>
      <w:lvlJc w:val="left"/>
      <w:pPr>
        <w:tabs>
          <w:tab w:val="num" w:pos="57"/>
        </w:tabs>
        <w:ind w:left="227" w:hanging="227"/>
      </w:pPr>
      <w:rPr>
        <w:rFonts w:hint="default"/>
      </w:rPr>
    </w:lvl>
    <w:lvl w:ilvl="7">
      <w:start w:val="1"/>
      <w:numFmt w:val="lowerLetter"/>
      <w:lvlText w:val="%8."/>
      <w:lvlJc w:val="left"/>
      <w:pPr>
        <w:tabs>
          <w:tab w:val="num" w:pos="57"/>
        </w:tabs>
        <w:ind w:left="227" w:hanging="227"/>
      </w:pPr>
      <w:rPr>
        <w:rFonts w:hint="default"/>
      </w:rPr>
    </w:lvl>
    <w:lvl w:ilvl="8">
      <w:start w:val="1"/>
      <w:numFmt w:val="lowerRoman"/>
      <w:lvlText w:val="%9."/>
      <w:lvlJc w:val="left"/>
      <w:pPr>
        <w:tabs>
          <w:tab w:val="num" w:pos="57"/>
        </w:tabs>
        <w:ind w:left="227" w:hanging="227"/>
      </w:pPr>
      <w:rPr>
        <w:rFonts w:hint="default"/>
      </w:rPr>
    </w:lvl>
  </w:abstractNum>
  <w:num w:numId="1" w16cid:durableId="1854107688">
    <w:abstractNumId w:val="8"/>
  </w:num>
  <w:num w:numId="2" w16cid:durableId="2085949365">
    <w:abstractNumId w:val="3"/>
  </w:num>
  <w:num w:numId="3" w16cid:durableId="677275991">
    <w:abstractNumId w:val="2"/>
  </w:num>
  <w:num w:numId="4" w16cid:durableId="1259949084">
    <w:abstractNumId w:val="1"/>
  </w:num>
  <w:num w:numId="5" w16cid:durableId="2073888333">
    <w:abstractNumId w:val="0"/>
  </w:num>
  <w:num w:numId="6" w16cid:durableId="826478520">
    <w:abstractNumId w:val="9"/>
  </w:num>
  <w:num w:numId="7" w16cid:durableId="206259998">
    <w:abstractNumId w:val="7"/>
  </w:num>
  <w:num w:numId="8" w16cid:durableId="1547839005">
    <w:abstractNumId w:val="6"/>
  </w:num>
  <w:num w:numId="9" w16cid:durableId="687801916">
    <w:abstractNumId w:val="5"/>
  </w:num>
  <w:num w:numId="10" w16cid:durableId="688801816">
    <w:abstractNumId w:val="4"/>
  </w:num>
  <w:num w:numId="11" w16cid:durableId="102581898">
    <w:abstractNumId w:val="15"/>
  </w:num>
  <w:num w:numId="12" w16cid:durableId="76177988">
    <w:abstractNumId w:val="14"/>
  </w:num>
  <w:num w:numId="13" w16cid:durableId="2073041312">
    <w:abstractNumId w:val="15"/>
  </w:num>
  <w:num w:numId="14" w16cid:durableId="1055352461">
    <w:abstractNumId w:val="11"/>
  </w:num>
  <w:num w:numId="15" w16cid:durableId="1384600280">
    <w:abstractNumId w:val="10"/>
  </w:num>
  <w:num w:numId="16" w16cid:durableId="458425275">
    <w:abstractNumId w:val="12"/>
  </w:num>
  <w:num w:numId="17" w16cid:durableId="672219318">
    <w:abstractNumId w:val="13"/>
  </w:num>
  <w:num w:numId="18" w16cid:durableId="16881675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660"/>
    <w:rsid w:val="00002DEF"/>
    <w:rsid w:val="00003E1C"/>
    <w:rsid w:val="000120B9"/>
    <w:rsid w:val="000139BD"/>
    <w:rsid w:val="00041875"/>
    <w:rsid w:val="000851D9"/>
    <w:rsid w:val="00087566"/>
    <w:rsid w:val="00092100"/>
    <w:rsid w:val="00096CED"/>
    <w:rsid w:val="000B7E5E"/>
    <w:rsid w:val="000C1F21"/>
    <w:rsid w:val="000E60CF"/>
    <w:rsid w:val="000F742F"/>
    <w:rsid w:val="00134061"/>
    <w:rsid w:val="00177F45"/>
    <w:rsid w:val="00196F75"/>
    <w:rsid w:val="001B591C"/>
    <w:rsid w:val="001D3387"/>
    <w:rsid w:val="00211470"/>
    <w:rsid w:val="00215C0E"/>
    <w:rsid w:val="002218B8"/>
    <w:rsid w:val="00231657"/>
    <w:rsid w:val="00232496"/>
    <w:rsid w:val="0024365B"/>
    <w:rsid w:val="00243EC4"/>
    <w:rsid w:val="00270F2E"/>
    <w:rsid w:val="002836DD"/>
    <w:rsid w:val="00283965"/>
    <w:rsid w:val="00293E0C"/>
    <w:rsid w:val="00295332"/>
    <w:rsid w:val="002A0462"/>
    <w:rsid w:val="002A5E91"/>
    <w:rsid w:val="002C508D"/>
    <w:rsid w:val="002D6A67"/>
    <w:rsid w:val="00313B5E"/>
    <w:rsid w:val="003228A2"/>
    <w:rsid w:val="0032596E"/>
    <w:rsid w:val="00355CFA"/>
    <w:rsid w:val="00377CA1"/>
    <w:rsid w:val="00382793"/>
    <w:rsid w:val="003864AD"/>
    <w:rsid w:val="0039029C"/>
    <w:rsid w:val="003E68CC"/>
    <w:rsid w:val="003F66B7"/>
    <w:rsid w:val="004022B4"/>
    <w:rsid w:val="004042C4"/>
    <w:rsid w:val="00425677"/>
    <w:rsid w:val="0042713C"/>
    <w:rsid w:val="00433EDD"/>
    <w:rsid w:val="00441DE0"/>
    <w:rsid w:val="0044219E"/>
    <w:rsid w:val="0045216F"/>
    <w:rsid w:val="00452AA8"/>
    <w:rsid w:val="004530B0"/>
    <w:rsid w:val="004675D3"/>
    <w:rsid w:val="004866BE"/>
    <w:rsid w:val="004C1700"/>
    <w:rsid w:val="004E2D1C"/>
    <w:rsid w:val="004E5D39"/>
    <w:rsid w:val="004F745E"/>
    <w:rsid w:val="004F75F5"/>
    <w:rsid w:val="0052237B"/>
    <w:rsid w:val="005428D2"/>
    <w:rsid w:val="00544345"/>
    <w:rsid w:val="00553A96"/>
    <w:rsid w:val="00570C44"/>
    <w:rsid w:val="005732EA"/>
    <w:rsid w:val="00576B1C"/>
    <w:rsid w:val="00593DC9"/>
    <w:rsid w:val="005943AF"/>
    <w:rsid w:val="005A1F20"/>
    <w:rsid w:val="005A3D8B"/>
    <w:rsid w:val="005A7A9F"/>
    <w:rsid w:val="005B10DA"/>
    <w:rsid w:val="005C775F"/>
    <w:rsid w:val="005D153C"/>
    <w:rsid w:val="005D733B"/>
    <w:rsid w:val="005F4DAA"/>
    <w:rsid w:val="005F5CA6"/>
    <w:rsid w:val="00610BC1"/>
    <w:rsid w:val="0061682B"/>
    <w:rsid w:val="00646166"/>
    <w:rsid w:val="00655A10"/>
    <w:rsid w:val="00682310"/>
    <w:rsid w:val="00684C19"/>
    <w:rsid w:val="006853FA"/>
    <w:rsid w:val="00685BB5"/>
    <w:rsid w:val="00693CFA"/>
    <w:rsid w:val="00697CA1"/>
    <w:rsid w:val="006A6CF9"/>
    <w:rsid w:val="006B5C7E"/>
    <w:rsid w:val="006C5367"/>
    <w:rsid w:val="006C6F7A"/>
    <w:rsid w:val="006C7C81"/>
    <w:rsid w:val="006D1D4F"/>
    <w:rsid w:val="006D57D3"/>
    <w:rsid w:val="006E27BF"/>
    <w:rsid w:val="007003AF"/>
    <w:rsid w:val="00700468"/>
    <w:rsid w:val="00702233"/>
    <w:rsid w:val="007105E5"/>
    <w:rsid w:val="00717F84"/>
    <w:rsid w:val="007267FE"/>
    <w:rsid w:val="00733EAA"/>
    <w:rsid w:val="007425BB"/>
    <w:rsid w:val="007746A5"/>
    <w:rsid w:val="0079307C"/>
    <w:rsid w:val="00796F8A"/>
    <w:rsid w:val="007A1A00"/>
    <w:rsid w:val="007A46E2"/>
    <w:rsid w:val="007B0A28"/>
    <w:rsid w:val="007E317D"/>
    <w:rsid w:val="007F1AC5"/>
    <w:rsid w:val="007F5A60"/>
    <w:rsid w:val="008004DF"/>
    <w:rsid w:val="00800BE1"/>
    <w:rsid w:val="0080313B"/>
    <w:rsid w:val="00805FAA"/>
    <w:rsid w:val="00806019"/>
    <w:rsid w:val="008124BD"/>
    <w:rsid w:val="008151AF"/>
    <w:rsid w:val="00815B14"/>
    <w:rsid w:val="008366CF"/>
    <w:rsid w:val="00840982"/>
    <w:rsid w:val="00844956"/>
    <w:rsid w:val="008556C9"/>
    <w:rsid w:val="008578E7"/>
    <w:rsid w:val="00877117"/>
    <w:rsid w:val="008C3869"/>
    <w:rsid w:val="008F0F07"/>
    <w:rsid w:val="008F2A13"/>
    <w:rsid w:val="00903556"/>
    <w:rsid w:val="0094740E"/>
    <w:rsid w:val="00951139"/>
    <w:rsid w:val="00952ECF"/>
    <w:rsid w:val="0095420B"/>
    <w:rsid w:val="00957324"/>
    <w:rsid w:val="00963956"/>
    <w:rsid w:val="009968C5"/>
    <w:rsid w:val="009A23AB"/>
    <w:rsid w:val="009A3C86"/>
    <w:rsid w:val="009A6592"/>
    <w:rsid w:val="009D180E"/>
    <w:rsid w:val="009D4424"/>
    <w:rsid w:val="00A10CE9"/>
    <w:rsid w:val="00A123BF"/>
    <w:rsid w:val="00A12638"/>
    <w:rsid w:val="00A25A80"/>
    <w:rsid w:val="00A3041B"/>
    <w:rsid w:val="00A8751E"/>
    <w:rsid w:val="00AA16DF"/>
    <w:rsid w:val="00AC4A7E"/>
    <w:rsid w:val="00B0359C"/>
    <w:rsid w:val="00B0733C"/>
    <w:rsid w:val="00B20A5D"/>
    <w:rsid w:val="00B32F4C"/>
    <w:rsid w:val="00B330AE"/>
    <w:rsid w:val="00B343B1"/>
    <w:rsid w:val="00B5514F"/>
    <w:rsid w:val="00B55E90"/>
    <w:rsid w:val="00B64F18"/>
    <w:rsid w:val="00B7692E"/>
    <w:rsid w:val="00B86224"/>
    <w:rsid w:val="00B92FB1"/>
    <w:rsid w:val="00B9367F"/>
    <w:rsid w:val="00B95D40"/>
    <w:rsid w:val="00BA10ED"/>
    <w:rsid w:val="00BA18C3"/>
    <w:rsid w:val="00BA6B5D"/>
    <w:rsid w:val="00BD1C15"/>
    <w:rsid w:val="00BD721C"/>
    <w:rsid w:val="00C10E75"/>
    <w:rsid w:val="00C20D4B"/>
    <w:rsid w:val="00C21B90"/>
    <w:rsid w:val="00C24CC9"/>
    <w:rsid w:val="00C31BA5"/>
    <w:rsid w:val="00C31F14"/>
    <w:rsid w:val="00C54C39"/>
    <w:rsid w:val="00C607BE"/>
    <w:rsid w:val="00C76A1B"/>
    <w:rsid w:val="00C832B6"/>
    <w:rsid w:val="00CB3CB7"/>
    <w:rsid w:val="00CC0066"/>
    <w:rsid w:val="00CE54AB"/>
    <w:rsid w:val="00CF260D"/>
    <w:rsid w:val="00D12583"/>
    <w:rsid w:val="00D16612"/>
    <w:rsid w:val="00D265D9"/>
    <w:rsid w:val="00D54C2A"/>
    <w:rsid w:val="00D63633"/>
    <w:rsid w:val="00D648C9"/>
    <w:rsid w:val="00D84774"/>
    <w:rsid w:val="00DA27E1"/>
    <w:rsid w:val="00DA2B5B"/>
    <w:rsid w:val="00DB206A"/>
    <w:rsid w:val="00DC13BB"/>
    <w:rsid w:val="00DC5CD2"/>
    <w:rsid w:val="00DC7837"/>
    <w:rsid w:val="00DD099A"/>
    <w:rsid w:val="00DE72B9"/>
    <w:rsid w:val="00DF1FA4"/>
    <w:rsid w:val="00DF6660"/>
    <w:rsid w:val="00E27DE3"/>
    <w:rsid w:val="00E346C1"/>
    <w:rsid w:val="00E47983"/>
    <w:rsid w:val="00E8489D"/>
    <w:rsid w:val="00EA304F"/>
    <w:rsid w:val="00EB38C2"/>
    <w:rsid w:val="00EC41D8"/>
    <w:rsid w:val="00ED5DC8"/>
    <w:rsid w:val="00EE508D"/>
    <w:rsid w:val="00F11388"/>
    <w:rsid w:val="00F14541"/>
    <w:rsid w:val="00F2226F"/>
    <w:rsid w:val="00F253B9"/>
    <w:rsid w:val="00F30CEC"/>
    <w:rsid w:val="00F5284E"/>
    <w:rsid w:val="00F563B6"/>
    <w:rsid w:val="00F60CA5"/>
    <w:rsid w:val="00F7653D"/>
    <w:rsid w:val="00FA062C"/>
    <w:rsid w:val="00FA196F"/>
    <w:rsid w:val="00FB5F07"/>
    <w:rsid w:val="00FC5107"/>
    <w:rsid w:val="00FD6CFC"/>
    <w:rsid w:val="00FE62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BD0150"/>
  <w15:chartTrackingRefBased/>
  <w15:docId w15:val="{C4F52F93-AAA7-A54A-B2B6-54CEB96A4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8578E7"/>
    <w:pPr>
      <w:jc w:val="both"/>
    </w:pPr>
    <w:rPr>
      <w:sz w:val="22"/>
    </w:rPr>
  </w:style>
  <w:style w:type="paragraph" w:styleId="Titre3">
    <w:name w:val="heading 3"/>
    <w:basedOn w:val="Normal"/>
    <w:link w:val="Titre3Car"/>
    <w:uiPriority w:val="9"/>
    <w:qFormat/>
    <w:rsid w:val="005F4DAA"/>
    <w:pPr>
      <w:spacing w:before="100" w:beforeAutospacing="1" w:after="100" w:afterAutospacing="1"/>
      <w:jc w:val="left"/>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DF1FA4"/>
    <w:pPr>
      <w:jc w:val="left"/>
    </w:pPr>
    <w:rPr>
      <w:sz w:val="16"/>
    </w:rPr>
  </w:style>
  <w:style w:type="character" w:customStyle="1" w:styleId="En-tteCar">
    <w:name w:val="En-tête Car"/>
    <w:basedOn w:val="Policepardfaut"/>
    <w:link w:val="En-tte"/>
    <w:uiPriority w:val="99"/>
    <w:semiHidden/>
    <w:rsid w:val="00840982"/>
    <w:rPr>
      <w:sz w:val="16"/>
    </w:rPr>
  </w:style>
  <w:style w:type="paragraph" w:styleId="Pieddepage">
    <w:name w:val="footer"/>
    <w:basedOn w:val="Normal"/>
    <w:link w:val="PieddepageCar"/>
    <w:uiPriority w:val="99"/>
    <w:semiHidden/>
    <w:rsid w:val="00840982"/>
    <w:pPr>
      <w:jc w:val="left"/>
    </w:pPr>
    <w:rPr>
      <w:sz w:val="18"/>
    </w:rPr>
  </w:style>
  <w:style w:type="character" w:customStyle="1" w:styleId="PieddepageCar">
    <w:name w:val="Pied de page Car"/>
    <w:basedOn w:val="Policepardfaut"/>
    <w:link w:val="Pieddepage"/>
    <w:uiPriority w:val="99"/>
    <w:semiHidden/>
    <w:rsid w:val="00840982"/>
    <w:rPr>
      <w:sz w:val="18"/>
    </w:rPr>
  </w:style>
  <w:style w:type="table" w:styleId="Grilledutableau">
    <w:name w:val="Table Grid"/>
    <w:basedOn w:val="TableauNormal"/>
    <w:uiPriority w:val="59"/>
    <w:rsid w:val="00DF1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rsid w:val="00840982"/>
    <w:rPr>
      <w:color w:val="00428B" w:themeColor="hyperlink"/>
      <w:u w:val="none"/>
    </w:rPr>
  </w:style>
  <w:style w:type="character" w:styleId="Mentionnonrsolue">
    <w:name w:val="Unresolved Mention"/>
    <w:basedOn w:val="Policepardfaut"/>
    <w:uiPriority w:val="99"/>
    <w:semiHidden/>
    <w:rsid w:val="00840982"/>
    <w:rPr>
      <w:color w:val="605E5C"/>
      <w:shd w:val="clear" w:color="auto" w:fill="E1DFDD"/>
    </w:rPr>
  </w:style>
  <w:style w:type="character" w:styleId="Textedelespacerserv">
    <w:name w:val="Placeholder Text"/>
    <w:basedOn w:val="Policepardfaut"/>
    <w:uiPriority w:val="99"/>
    <w:semiHidden/>
    <w:rsid w:val="00840982"/>
    <w:rPr>
      <w:color w:val="808080"/>
    </w:rPr>
  </w:style>
  <w:style w:type="paragraph" w:customStyle="1" w:styleId="VDate">
    <w:name w:val="V_Date"/>
    <w:basedOn w:val="Normal"/>
    <w:next w:val="Normal"/>
    <w:qFormat/>
    <w:rsid w:val="00840982"/>
    <w:pPr>
      <w:jc w:val="right"/>
    </w:pPr>
    <w:rPr>
      <w:szCs w:val="22"/>
    </w:rPr>
  </w:style>
  <w:style w:type="paragraph" w:customStyle="1" w:styleId="VTitre">
    <w:name w:val="V_Titre"/>
    <w:basedOn w:val="Normal"/>
    <w:next w:val="Normal"/>
    <w:qFormat/>
    <w:rsid w:val="008578E7"/>
    <w:pPr>
      <w:spacing w:before="600" w:after="600"/>
      <w:jc w:val="center"/>
    </w:pPr>
    <w:rPr>
      <w:b/>
      <w:bCs/>
      <w:sz w:val="30"/>
      <w:szCs w:val="34"/>
    </w:rPr>
  </w:style>
  <w:style w:type="paragraph" w:customStyle="1" w:styleId="VPuce">
    <w:name w:val="V_Puce"/>
    <w:basedOn w:val="Normal"/>
    <w:uiPriority w:val="1"/>
    <w:qFormat/>
    <w:rsid w:val="00840982"/>
    <w:pPr>
      <w:numPr>
        <w:numId w:val="11"/>
      </w:numPr>
    </w:pPr>
  </w:style>
  <w:style w:type="paragraph" w:customStyle="1" w:styleId="VCitation">
    <w:name w:val="V_Citation"/>
    <w:basedOn w:val="Normal"/>
    <w:next w:val="VAuteur"/>
    <w:uiPriority w:val="2"/>
    <w:qFormat/>
    <w:rsid w:val="00840982"/>
    <w:pPr>
      <w:pBdr>
        <w:left w:val="single" w:sz="12" w:space="10" w:color="004489" w:themeColor="text2"/>
      </w:pBdr>
      <w:ind w:left="850" w:right="1134"/>
    </w:pPr>
    <w:rPr>
      <w:color w:val="004489" w:themeColor="text2"/>
    </w:rPr>
  </w:style>
  <w:style w:type="paragraph" w:customStyle="1" w:styleId="VAuteur">
    <w:name w:val="V_Auteur"/>
    <w:basedOn w:val="Normal"/>
    <w:next w:val="Normal"/>
    <w:uiPriority w:val="3"/>
    <w:qFormat/>
    <w:rsid w:val="00840982"/>
    <w:pPr>
      <w:pBdr>
        <w:left w:val="single" w:sz="12" w:space="10" w:color="004489" w:themeColor="text2"/>
      </w:pBdr>
      <w:ind w:left="850" w:right="1134"/>
    </w:pPr>
    <w:rPr>
      <w:color w:val="004489" w:themeColor="text2"/>
      <w:sz w:val="16"/>
      <w:szCs w:val="16"/>
    </w:rPr>
  </w:style>
  <w:style w:type="paragraph" w:customStyle="1" w:styleId="VBleuBold">
    <w:name w:val="V_BleuBold"/>
    <w:basedOn w:val="Normal"/>
    <w:qFormat/>
    <w:rsid w:val="00B9367F"/>
    <w:rPr>
      <w:b/>
      <w:bCs/>
      <w:color w:val="004489" w:themeColor="text2"/>
      <w:sz w:val="24"/>
    </w:rPr>
  </w:style>
  <w:style w:type="paragraph" w:customStyle="1" w:styleId="VBold">
    <w:name w:val="V_Bold"/>
    <w:basedOn w:val="Normal"/>
    <w:next w:val="Normal"/>
    <w:qFormat/>
    <w:rsid w:val="008578E7"/>
    <w:rPr>
      <w:b/>
      <w:bCs/>
    </w:rPr>
  </w:style>
  <w:style w:type="paragraph" w:customStyle="1" w:styleId="VPuce2">
    <w:name w:val="V_Puce2"/>
    <w:basedOn w:val="VPuce"/>
    <w:qFormat/>
    <w:rsid w:val="00FC5107"/>
    <w:pPr>
      <w:numPr>
        <w:ilvl w:val="1"/>
        <w:numId w:val="12"/>
      </w:numPr>
      <w:ind w:left="993" w:hanging="219"/>
    </w:pPr>
  </w:style>
  <w:style w:type="paragraph" w:customStyle="1" w:styleId="VTitre2">
    <w:name w:val="V_Titre2"/>
    <w:basedOn w:val="Normal"/>
    <w:qFormat/>
    <w:rsid w:val="00FC5107"/>
    <w:rPr>
      <w:b/>
      <w:bCs/>
      <w:caps/>
      <w:color w:val="004489" w:themeColor="text2"/>
    </w:rPr>
  </w:style>
  <w:style w:type="paragraph" w:customStyle="1" w:styleId="VduCAtableau">
    <w:name w:val="V_% du CA (tableau"/>
    <w:basedOn w:val="Normal"/>
    <w:link w:val="VduCAtableauCar"/>
    <w:qFormat/>
    <w:rsid w:val="008556C9"/>
    <w:rPr>
      <w:i/>
      <w:iCs/>
      <w:sz w:val="20"/>
      <w:szCs w:val="18"/>
    </w:rPr>
  </w:style>
  <w:style w:type="paragraph" w:styleId="Notedefin">
    <w:name w:val="endnote text"/>
    <w:basedOn w:val="Normal"/>
    <w:link w:val="NotedefinCar"/>
    <w:uiPriority w:val="99"/>
    <w:semiHidden/>
    <w:rsid w:val="008556C9"/>
    <w:rPr>
      <w:sz w:val="20"/>
    </w:rPr>
  </w:style>
  <w:style w:type="character" w:customStyle="1" w:styleId="VduCAtableauCar">
    <w:name w:val="V_% du CA (tableau Car"/>
    <w:basedOn w:val="Policepardfaut"/>
    <w:link w:val="VduCAtableau"/>
    <w:rsid w:val="008556C9"/>
    <w:rPr>
      <w:i/>
      <w:iCs/>
      <w:szCs w:val="18"/>
    </w:rPr>
  </w:style>
  <w:style w:type="character" w:customStyle="1" w:styleId="NotedefinCar">
    <w:name w:val="Note de fin Car"/>
    <w:basedOn w:val="Policepardfaut"/>
    <w:link w:val="Notedefin"/>
    <w:uiPriority w:val="99"/>
    <w:semiHidden/>
    <w:rsid w:val="008556C9"/>
  </w:style>
  <w:style w:type="character" w:styleId="Appeldenotedefin">
    <w:name w:val="endnote reference"/>
    <w:basedOn w:val="Policepardfaut"/>
    <w:uiPriority w:val="99"/>
    <w:semiHidden/>
    <w:rsid w:val="008556C9"/>
    <w:rPr>
      <w:vertAlign w:val="superscript"/>
    </w:rPr>
  </w:style>
  <w:style w:type="paragraph" w:styleId="Notedebasdepage">
    <w:name w:val="footnote text"/>
    <w:basedOn w:val="Normal"/>
    <w:link w:val="NotedebasdepageCar"/>
    <w:uiPriority w:val="99"/>
    <w:semiHidden/>
    <w:rsid w:val="006C5367"/>
    <w:rPr>
      <w:sz w:val="20"/>
    </w:rPr>
  </w:style>
  <w:style w:type="character" w:customStyle="1" w:styleId="NotedebasdepageCar">
    <w:name w:val="Note de bas de page Car"/>
    <w:basedOn w:val="Policepardfaut"/>
    <w:link w:val="Notedebasdepage"/>
    <w:uiPriority w:val="99"/>
    <w:semiHidden/>
    <w:rsid w:val="006C5367"/>
  </w:style>
  <w:style w:type="character" w:styleId="Appelnotedebasdep">
    <w:name w:val="footnote reference"/>
    <w:basedOn w:val="Policepardfaut"/>
    <w:uiPriority w:val="99"/>
    <w:semiHidden/>
    <w:rsid w:val="006C5367"/>
    <w:rPr>
      <w:vertAlign w:val="superscript"/>
    </w:rPr>
  </w:style>
  <w:style w:type="paragraph" w:customStyle="1" w:styleId="Vnotedebasdepage">
    <w:name w:val="V_note de bas de page"/>
    <w:basedOn w:val="Notedebasdepage"/>
    <w:qFormat/>
    <w:rsid w:val="00DC5CD2"/>
    <w:rPr>
      <w:sz w:val="18"/>
      <w:szCs w:val="18"/>
    </w:rPr>
  </w:style>
  <w:style w:type="character" w:styleId="Numrodepage">
    <w:name w:val="page number"/>
    <w:basedOn w:val="Policepardfaut"/>
    <w:uiPriority w:val="99"/>
    <w:semiHidden/>
    <w:rsid w:val="009D4424"/>
  </w:style>
  <w:style w:type="character" w:styleId="Lienhypertextesuivivisit">
    <w:name w:val="FollowedHyperlink"/>
    <w:basedOn w:val="Policepardfaut"/>
    <w:uiPriority w:val="99"/>
    <w:semiHidden/>
    <w:rsid w:val="00F7653D"/>
    <w:rPr>
      <w:color w:val="00428B" w:themeColor="followedHyperlink"/>
      <w:u w:val="single"/>
    </w:rPr>
  </w:style>
  <w:style w:type="character" w:styleId="lev">
    <w:name w:val="Strong"/>
    <w:basedOn w:val="Policepardfaut"/>
    <w:uiPriority w:val="22"/>
    <w:qFormat/>
    <w:rsid w:val="00134061"/>
    <w:rPr>
      <w:b/>
      <w:bCs/>
    </w:rPr>
  </w:style>
  <w:style w:type="character" w:customStyle="1" w:styleId="apple-converted-space">
    <w:name w:val="apple-converted-space"/>
    <w:basedOn w:val="Policepardfaut"/>
    <w:rsid w:val="00134061"/>
  </w:style>
  <w:style w:type="character" w:customStyle="1" w:styleId="Titre3Car">
    <w:name w:val="Titre 3 Car"/>
    <w:basedOn w:val="Policepardfaut"/>
    <w:link w:val="Titre3"/>
    <w:uiPriority w:val="9"/>
    <w:rsid w:val="005F4DAA"/>
    <w:rPr>
      <w:rFonts w:ascii="Times New Roman" w:eastAsia="Times New Roman" w:hAnsi="Times New Roman" w:cs="Times New Roman"/>
      <w:b/>
      <w:bCs/>
      <w:sz w:val="27"/>
      <w:szCs w:val="27"/>
      <w:lang w:eastAsia="fr-FR"/>
    </w:rPr>
  </w:style>
  <w:style w:type="paragraph" w:customStyle="1" w:styleId="paragraph">
    <w:name w:val="paragraph"/>
    <w:basedOn w:val="Normal"/>
    <w:rsid w:val="00215C0E"/>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215C0E"/>
  </w:style>
  <w:style w:type="character" w:customStyle="1" w:styleId="eop">
    <w:name w:val="eop"/>
    <w:basedOn w:val="Policepardfaut"/>
    <w:rsid w:val="00215C0E"/>
  </w:style>
  <w:style w:type="character" w:customStyle="1" w:styleId="spellingerror">
    <w:name w:val="spellingerror"/>
    <w:basedOn w:val="Policepardfaut"/>
    <w:rsid w:val="00215C0E"/>
  </w:style>
  <w:style w:type="character" w:customStyle="1" w:styleId="ui-provider">
    <w:name w:val="ui-provider"/>
    <w:basedOn w:val="Policepardfaut"/>
    <w:rsid w:val="00270F2E"/>
  </w:style>
  <w:style w:type="character" w:styleId="Marquedecommentaire">
    <w:name w:val="annotation reference"/>
    <w:basedOn w:val="Policepardfaut"/>
    <w:uiPriority w:val="99"/>
    <w:semiHidden/>
    <w:rsid w:val="00ED5DC8"/>
    <w:rPr>
      <w:sz w:val="16"/>
      <w:szCs w:val="16"/>
    </w:rPr>
  </w:style>
  <w:style w:type="paragraph" w:styleId="Commentaire">
    <w:name w:val="annotation text"/>
    <w:basedOn w:val="Normal"/>
    <w:link w:val="CommentaireCar"/>
    <w:uiPriority w:val="99"/>
    <w:semiHidden/>
    <w:rsid w:val="00ED5DC8"/>
    <w:rPr>
      <w:sz w:val="20"/>
    </w:rPr>
  </w:style>
  <w:style w:type="character" w:customStyle="1" w:styleId="CommentaireCar">
    <w:name w:val="Commentaire Car"/>
    <w:basedOn w:val="Policepardfaut"/>
    <w:link w:val="Commentaire"/>
    <w:uiPriority w:val="99"/>
    <w:semiHidden/>
    <w:rsid w:val="00ED5DC8"/>
  </w:style>
  <w:style w:type="paragraph" w:styleId="Objetducommentaire">
    <w:name w:val="annotation subject"/>
    <w:basedOn w:val="Commentaire"/>
    <w:next w:val="Commentaire"/>
    <w:link w:val="ObjetducommentaireCar"/>
    <w:uiPriority w:val="99"/>
    <w:semiHidden/>
    <w:rsid w:val="00ED5DC8"/>
    <w:rPr>
      <w:b/>
      <w:bCs/>
    </w:rPr>
  </w:style>
  <w:style w:type="character" w:customStyle="1" w:styleId="ObjetducommentaireCar">
    <w:name w:val="Objet du commentaire Car"/>
    <w:basedOn w:val="CommentaireCar"/>
    <w:link w:val="Objetducommentaire"/>
    <w:uiPriority w:val="99"/>
    <w:semiHidden/>
    <w:rsid w:val="00ED5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89810">
      <w:bodyDiv w:val="1"/>
      <w:marLeft w:val="0"/>
      <w:marRight w:val="0"/>
      <w:marTop w:val="0"/>
      <w:marBottom w:val="0"/>
      <w:divBdr>
        <w:top w:val="none" w:sz="0" w:space="0" w:color="auto"/>
        <w:left w:val="none" w:sz="0" w:space="0" w:color="auto"/>
        <w:bottom w:val="none" w:sz="0" w:space="0" w:color="auto"/>
        <w:right w:val="none" w:sz="0" w:space="0" w:color="auto"/>
      </w:divBdr>
    </w:div>
    <w:div w:id="1337265441">
      <w:bodyDiv w:val="1"/>
      <w:marLeft w:val="0"/>
      <w:marRight w:val="0"/>
      <w:marTop w:val="0"/>
      <w:marBottom w:val="0"/>
      <w:divBdr>
        <w:top w:val="none" w:sz="0" w:space="0" w:color="auto"/>
        <w:left w:val="none" w:sz="0" w:space="0" w:color="auto"/>
        <w:bottom w:val="none" w:sz="0" w:space="0" w:color="auto"/>
        <w:right w:val="none" w:sz="0" w:space="0" w:color="auto"/>
      </w:divBdr>
      <w:divsChild>
        <w:div w:id="1301765459">
          <w:marLeft w:val="0"/>
          <w:marRight w:val="0"/>
          <w:marTop w:val="0"/>
          <w:marBottom w:val="0"/>
          <w:divBdr>
            <w:top w:val="none" w:sz="0" w:space="0" w:color="auto"/>
            <w:left w:val="none" w:sz="0" w:space="0" w:color="auto"/>
            <w:bottom w:val="none" w:sz="0" w:space="0" w:color="auto"/>
            <w:right w:val="none" w:sz="0" w:space="0" w:color="auto"/>
          </w:divBdr>
        </w:div>
      </w:divsChild>
    </w:div>
    <w:div w:id="1557740598">
      <w:bodyDiv w:val="1"/>
      <w:marLeft w:val="0"/>
      <w:marRight w:val="0"/>
      <w:marTop w:val="0"/>
      <w:marBottom w:val="0"/>
      <w:divBdr>
        <w:top w:val="none" w:sz="0" w:space="0" w:color="auto"/>
        <w:left w:val="none" w:sz="0" w:space="0" w:color="auto"/>
        <w:bottom w:val="none" w:sz="0" w:space="0" w:color="auto"/>
        <w:right w:val="none" w:sz="0" w:space="0" w:color="auto"/>
      </w:divBdr>
      <w:divsChild>
        <w:div w:id="626856301">
          <w:marLeft w:val="0"/>
          <w:marRight w:val="0"/>
          <w:marTop w:val="0"/>
          <w:marBottom w:val="0"/>
          <w:divBdr>
            <w:top w:val="none" w:sz="0" w:space="0" w:color="auto"/>
            <w:left w:val="none" w:sz="0" w:space="0" w:color="auto"/>
            <w:bottom w:val="none" w:sz="0" w:space="0" w:color="auto"/>
            <w:right w:val="none" w:sz="0" w:space="0" w:color="auto"/>
          </w:divBdr>
        </w:div>
        <w:div w:id="478229984">
          <w:marLeft w:val="0"/>
          <w:marRight w:val="0"/>
          <w:marTop w:val="0"/>
          <w:marBottom w:val="0"/>
          <w:divBdr>
            <w:top w:val="none" w:sz="0" w:space="0" w:color="auto"/>
            <w:left w:val="none" w:sz="0" w:space="0" w:color="auto"/>
            <w:bottom w:val="none" w:sz="0" w:space="0" w:color="auto"/>
            <w:right w:val="none" w:sz="0" w:space="0" w:color="auto"/>
          </w:divBdr>
        </w:div>
        <w:div w:id="1909606806">
          <w:marLeft w:val="0"/>
          <w:marRight w:val="0"/>
          <w:marTop w:val="0"/>
          <w:marBottom w:val="0"/>
          <w:divBdr>
            <w:top w:val="none" w:sz="0" w:space="0" w:color="auto"/>
            <w:left w:val="none" w:sz="0" w:space="0" w:color="auto"/>
            <w:bottom w:val="none" w:sz="0" w:space="0" w:color="auto"/>
            <w:right w:val="none" w:sz="0" w:space="0" w:color="auto"/>
          </w:divBdr>
        </w:div>
        <w:div w:id="292445066">
          <w:marLeft w:val="0"/>
          <w:marRight w:val="0"/>
          <w:marTop w:val="0"/>
          <w:marBottom w:val="0"/>
          <w:divBdr>
            <w:top w:val="none" w:sz="0" w:space="0" w:color="auto"/>
            <w:left w:val="none" w:sz="0" w:space="0" w:color="auto"/>
            <w:bottom w:val="none" w:sz="0" w:space="0" w:color="auto"/>
            <w:right w:val="none" w:sz="0" w:space="0" w:color="auto"/>
          </w:divBdr>
        </w:div>
        <w:div w:id="1351644539">
          <w:marLeft w:val="0"/>
          <w:marRight w:val="0"/>
          <w:marTop w:val="0"/>
          <w:marBottom w:val="0"/>
          <w:divBdr>
            <w:top w:val="none" w:sz="0" w:space="0" w:color="auto"/>
            <w:left w:val="none" w:sz="0" w:space="0" w:color="auto"/>
            <w:bottom w:val="none" w:sz="0" w:space="0" w:color="auto"/>
            <w:right w:val="none" w:sz="0" w:space="0" w:color="auto"/>
          </w:divBdr>
        </w:div>
        <w:div w:id="723798264">
          <w:marLeft w:val="0"/>
          <w:marRight w:val="0"/>
          <w:marTop w:val="0"/>
          <w:marBottom w:val="0"/>
          <w:divBdr>
            <w:top w:val="none" w:sz="0" w:space="0" w:color="auto"/>
            <w:left w:val="none" w:sz="0" w:space="0" w:color="auto"/>
            <w:bottom w:val="none" w:sz="0" w:space="0" w:color="auto"/>
            <w:right w:val="none" w:sz="0" w:space="0" w:color="auto"/>
          </w:divBdr>
        </w:div>
        <w:div w:id="1749765669">
          <w:marLeft w:val="0"/>
          <w:marRight w:val="0"/>
          <w:marTop w:val="0"/>
          <w:marBottom w:val="0"/>
          <w:divBdr>
            <w:top w:val="none" w:sz="0" w:space="0" w:color="auto"/>
            <w:left w:val="none" w:sz="0" w:space="0" w:color="auto"/>
            <w:bottom w:val="none" w:sz="0" w:space="0" w:color="auto"/>
            <w:right w:val="none" w:sz="0" w:space="0" w:color="auto"/>
          </w:divBdr>
        </w:div>
        <w:div w:id="173687464">
          <w:marLeft w:val="0"/>
          <w:marRight w:val="0"/>
          <w:marTop w:val="0"/>
          <w:marBottom w:val="0"/>
          <w:divBdr>
            <w:top w:val="none" w:sz="0" w:space="0" w:color="auto"/>
            <w:left w:val="none" w:sz="0" w:space="0" w:color="auto"/>
            <w:bottom w:val="none" w:sz="0" w:space="0" w:color="auto"/>
            <w:right w:val="none" w:sz="0" w:space="0" w:color="auto"/>
          </w:divBdr>
        </w:div>
        <w:div w:id="1273128264">
          <w:marLeft w:val="0"/>
          <w:marRight w:val="0"/>
          <w:marTop w:val="0"/>
          <w:marBottom w:val="0"/>
          <w:divBdr>
            <w:top w:val="none" w:sz="0" w:space="0" w:color="auto"/>
            <w:left w:val="none" w:sz="0" w:space="0" w:color="auto"/>
            <w:bottom w:val="none" w:sz="0" w:space="0" w:color="auto"/>
            <w:right w:val="none" w:sz="0" w:space="0" w:color="auto"/>
          </w:divBdr>
        </w:div>
        <w:div w:id="813523835">
          <w:marLeft w:val="0"/>
          <w:marRight w:val="0"/>
          <w:marTop w:val="0"/>
          <w:marBottom w:val="0"/>
          <w:divBdr>
            <w:top w:val="none" w:sz="0" w:space="0" w:color="auto"/>
            <w:left w:val="none" w:sz="0" w:space="0" w:color="auto"/>
            <w:bottom w:val="none" w:sz="0" w:space="0" w:color="auto"/>
            <w:right w:val="none" w:sz="0" w:space="0" w:color="auto"/>
          </w:divBdr>
        </w:div>
        <w:div w:id="131869769">
          <w:marLeft w:val="0"/>
          <w:marRight w:val="0"/>
          <w:marTop w:val="0"/>
          <w:marBottom w:val="0"/>
          <w:divBdr>
            <w:top w:val="none" w:sz="0" w:space="0" w:color="auto"/>
            <w:left w:val="none" w:sz="0" w:space="0" w:color="auto"/>
            <w:bottom w:val="none" w:sz="0" w:space="0" w:color="auto"/>
            <w:right w:val="none" w:sz="0" w:space="0" w:color="auto"/>
          </w:divBdr>
        </w:div>
        <w:div w:id="48840879">
          <w:marLeft w:val="0"/>
          <w:marRight w:val="0"/>
          <w:marTop w:val="0"/>
          <w:marBottom w:val="0"/>
          <w:divBdr>
            <w:top w:val="none" w:sz="0" w:space="0" w:color="auto"/>
            <w:left w:val="none" w:sz="0" w:space="0" w:color="auto"/>
            <w:bottom w:val="none" w:sz="0" w:space="0" w:color="auto"/>
            <w:right w:val="none" w:sz="0" w:space="0" w:color="auto"/>
          </w:divBdr>
        </w:div>
        <w:div w:id="60180351">
          <w:marLeft w:val="0"/>
          <w:marRight w:val="0"/>
          <w:marTop w:val="0"/>
          <w:marBottom w:val="0"/>
          <w:divBdr>
            <w:top w:val="none" w:sz="0" w:space="0" w:color="auto"/>
            <w:left w:val="none" w:sz="0" w:space="0" w:color="auto"/>
            <w:bottom w:val="none" w:sz="0" w:space="0" w:color="auto"/>
            <w:right w:val="none" w:sz="0" w:space="0" w:color="auto"/>
          </w:divBdr>
        </w:div>
        <w:div w:id="1788507476">
          <w:marLeft w:val="0"/>
          <w:marRight w:val="0"/>
          <w:marTop w:val="0"/>
          <w:marBottom w:val="0"/>
          <w:divBdr>
            <w:top w:val="none" w:sz="0" w:space="0" w:color="auto"/>
            <w:left w:val="none" w:sz="0" w:space="0" w:color="auto"/>
            <w:bottom w:val="none" w:sz="0" w:space="0" w:color="auto"/>
            <w:right w:val="none" w:sz="0" w:space="0" w:color="auto"/>
          </w:divBdr>
        </w:div>
        <w:div w:id="1171527879">
          <w:marLeft w:val="0"/>
          <w:marRight w:val="0"/>
          <w:marTop w:val="0"/>
          <w:marBottom w:val="0"/>
          <w:divBdr>
            <w:top w:val="none" w:sz="0" w:space="0" w:color="auto"/>
            <w:left w:val="none" w:sz="0" w:space="0" w:color="auto"/>
            <w:bottom w:val="none" w:sz="0" w:space="0" w:color="auto"/>
            <w:right w:val="none" w:sz="0" w:space="0" w:color="auto"/>
          </w:divBdr>
        </w:div>
        <w:div w:id="107624072">
          <w:marLeft w:val="0"/>
          <w:marRight w:val="0"/>
          <w:marTop w:val="0"/>
          <w:marBottom w:val="0"/>
          <w:divBdr>
            <w:top w:val="none" w:sz="0" w:space="0" w:color="auto"/>
            <w:left w:val="none" w:sz="0" w:space="0" w:color="auto"/>
            <w:bottom w:val="none" w:sz="0" w:space="0" w:color="auto"/>
            <w:right w:val="none" w:sz="0" w:space="0" w:color="auto"/>
          </w:divBdr>
        </w:div>
        <w:div w:id="395668869">
          <w:marLeft w:val="0"/>
          <w:marRight w:val="0"/>
          <w:marTop w:val="0"/>
          <w:marBottom w:val="0"/>
          <w:divBdr>
            <w:top w:val="none" w:sz="0" w:space="0" w:color="auto"/>
            <w:left w:val="none" w:sz="0" w:space="0" w:color="auto"/>
            <w:bottom w:val="none" w:sz="0" w:space="0" w:color="auto"/>
            <w:right w:val="none" w:sz="0" w:space="0" w:color="auto"/>
          </w:divBdr>
        </w:div>
        <w:div w:id="885722983">
          <w:marLeft w:val="0"/>
          <w:marRight w:val="0"/>
          <w:marTop w:val="0"/>
          <w:marBottom w:val="0"/>
          <w:divBdr>
            <w:top w:val="none" w:sz="0" w:space="0" w:color="auto"/>
            <w:left w:val="none" w:sz="0" w:space="0" w:color="auto"/>
            <w:bottom w:val="none" w:sz="0" w:space="0" w:color="auto"/>
            <w:right w:val="none" w:sz="0" w:space="0" w:color="auto"/>
          </w:divBdr>
        </w:div>
        <w:div w:id="1668053543">
          <w:marLeft w:val="0"/>
          <w:marRight w:val="0"/>
          <w:marTop w:val="0"/>
          <w:marBottom w:val="0"/>
          <w:divBdr>
            <w:top w:val="none" w:sz="0" w:space="0" w:color="auto"/>
            <w:left w:val="none" w:sz="0" w:space="0" w:color="auto"/>
            <w:bottom w:val="none" w:sz="0" w:space="0" w:color="auto"/>
            <w:right w:val="none" w:sz="0" w:space="0" w:color="auto"/>
          </w:divBdr>
        </w:div>
      </w:divsChild>
    </w:div>
    <w:div w:id="1597640660">
      <w:bodyDiv w:val="1"/>
      <w:marLeft w:val="0"/>
      <w:marRight w:val="0"/>
      <w:marTop w:val="0"/>
      <w:marBottom w:val="0"/>
      <w:divBdr>
        <w:top w:val="none" w:sz="0" w:space="0" w:color="auto"/>
        <w:left w:val="none" w:sz="0" w:space="0" w:color="auto"/>
        <w:bottom w:val="none" w:sz="0" w:space="0" w:color="auto"/>
        <w:right w:val="none" w:sz="0" w:space="0" w:color="auto"/>
      </w:divBdr>
      <w:divsChild>
        <w:div w:id="1095781871">
          <w:marLeft w:val="0"/>
          <w:marRight w:val="0"/>
          <w:marTop w:val="0"/>
          <w:marBottom w:val="0"/>
          <w:divBdr>
            <w:top w:val="none" w:sz="0" w:space="0" w:color="auto"/>
            <w:left w:val="none" w:sz="0" w:space="0" w:color="auto"/>
            <w:bottom w:val="none" w:sz="0" w:space="0" w:color="auto"/>
            <w:right w:val="none" w:sz="0" w:space="0" w:color="auto"/>
          </w:divBdr>
        </w:div>
        <w:div w:id="1785802284">
          <w:marLeft w:val="0"/>
          <w:marRight w:val="0"/>
          <w:marTop w:val="0"/>
          <w:marBottom w:val="0"/>
          <w:divBdr>
            <w:top w:val="none" w:sz="0" w:space="0" w:color="auto"/>
            <w:left w:val="none" w:sz="0" w:space="0" w:color="auto"/>
            <w:bottom w:val="none" w:sz="0" w:space="0" w:color="auto"/>
            <w:right w:val="none" w:sz="0" w:space="0" w:color="auto"/>
          </w:divBdr>
        </w:div>
        <w:div w:id="1544442523">
          <w:marLeft w:val="0"/>
          <w:marRight w:val="0"/>
          <w:marTop w:val="0"/>
          <w:marBottom w:val="0"/>
          <w:divBdr>
            <w:top w:val="none" w:sz="0" w:space="0" w:color="auto"/>
            <w:left w:val="none" w:sz="0" w:space="0" w:color="auto"/>
            <w:bottom w:val="none" w:sz="0" w:space="0" w:color="auto"/>
            <w:right w:val="none" w:sz="0" w:space="0" w:color="auto"/>
          </w:divBdr>
        </w:div>
        <w:div w:id="332874900">
          <w:marLeft w:val="0"/>
          <w:marRight w:val="0"/>
          <w:marTop w:val="0"/>
          <w:marBottom w:val="0"/>
          <w:divBdr>
            <w:top w:val="none" w:sz="0" w:space="0" w:color="auto"/>
            <w:left w:val="none" w:sz="0" w:space="0" w:color="auto"/>
            <w:bottom w:val="none" w:sz="0" w:space="0" w:color="auto"/>
            <w:right w:val="none" w:sz="0" w:space="0" w:color="auto"/>
          </w:divBdr>
        </w:div>
        <w:div w:id="1919712308">
          <w:marLeft w:val="0"/>
          <w:marRight w:val="0"/>
          <w:marTop w:val="0"/>
          <w:marBottom w:val="0"/>
          <w:divBdr>
            <w:top w:val="none" w:sz="0" w:space="0" w:color="auto"/>
            <w:left w:val="none" w:sz="0" w:space="0" w:color="auto"/>
            <w:bottom w:val="none" w:sz="0" w:space="0" w:color="auto"/>
            <w:right w:val="none" w:sz="0" w:space="0" w:color="auto"/>
          </w:divBdr>
        </w:div>
        <w:div w:id="166795710">
          <w:marLeft w:val="0"/>
          <w:marRight w:val="0"/>
          <w:marTop w:val="0"/>
          <w:marBottom w:val="0"/>
          <w:divBdr>
            <w:top w:val="none" w:sz="0" w:space="0" w:color="auto"/>
            <w:left w:val="none" w:sz="0" w:space="0" w:color="auto"/>
            <w:bottom w:val="none" w:sz="0" w:space="0" w:color="auto"/>
            <w:right w:val="none" w:sz="0" w:space="0" w:color="auto"/>
          </w:divBdr>
        </w:div>
        <w:div w:id="580942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oud.letsignit.com/collect/bc/5b0ff83e0d34170007e4046f?p=VOUB_Vzvs0Lky0BUyxAGO45NnXbZgTnUtvN13ZdkE6TzSCqrXv4AuAH499C8KFoH4y_UZZz5rgfzDNkdHdczEW27isRB7oSCOrmcX9IzBoJjuFm-RXkpuGnSTghoXcub3ziBCt66HeejZLZYi98xsVstxLBAHC1_6Rqi7EvxgyXxbuS8HXJlsQh2zkUpECMjJIkCnGW1O7C8EfmpIebWAw=="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loud.letsignit.com/collect/bc/5b0ff83e0d34170007e4046f?p=VOUB_Vzvs0Lky0BUyxAGO45NnXbZgTnUtvN13ZdkE6TzSCqrXv4AuAH499C8KFoH4y_UZZz5rgfzDNkdHdczEW27isRB7oSCOrmcX9IzBoJjuFm-RXkpuGnSTghoXcub_G6MpdBZEQQpSblKF2t2WpgZjfi2NuL6Zb74PJpgQ1x7BIYFQmd4CFY3PZr8ItDDw7gMpYHGLUnhlJusaT6wRQ==" TargetMode="External"/><Relationship Id="rId7" Type="http://schemas.openxmlformats.org/officeDocument/2006/relationships/settings" Target="settings.xml"/><Relationship Id="rId12" Type="http://schemas.openxmlformats.org/officeDocument/2006/relationships/hyperlink" Target="http://www.vinci-immobilier.com" TargetMode="External"/><Relationship Id="rId17" Type="http://schemas.openxmlformats.org/officeDocument/2006/relationships/hyperlink" Target="https://www.instagram.com/vinci_immobilie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loud.letsignit.com/collect/bc/5b0ff83e0d34170007e4046f?p=VOUB_Vzvs0Lky0BUyxAGO45NnXbZgTnUtvN13ZdkE6TzSCqrXv4AuAH499C8KFoH4y_UZZz5rgfzDNkdHdczEW27isRB7oSCOrmcX9IzBoLEY3iJ1XOb6_YdbeBHhO3b4CO4YFsmdjLxSAGkf_ivvsCp7S2bjar-qcclI8Qu603DuAylgcYtSeGUm6xpPrBF" TargetMode="External"/><Relationship Id="rId23" Type="http://schemas.openxmlformats.org/officeDocument/2006/relationships/hyperlink" Target="mailto:caroline.maurey@vinci-immobili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127471/adm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Vinci">
      <a:dk1>
        <a:srgbClr val="000000"/>
      </a:dk1>
      <a:lt1>
        <a:sysClr val="window" lastClr="FFFFFF"/>
      </a:lt1>
      <a:dk2>
        <a:srgbClr val="004489"/>
      </a:dk2>
      <a:lt2>
        <a:srgbClr val="F0F0F0"/>
      </a:lt2>
      <a:accent1>
        <a:srgbClr val="E5001A"/>
      </a:accent1>
      <a:accent2>
        <a:srgbClr val="2A77FF"/>
      </a:accent2>
      <a:accent3>
        <a:srgbClr val="00428B"/>
      </a:accent3>
      <a:accent4>
        <a:srgbClr val="F2F2F2"/>
      </a:accent4>
      <a:accent5>
        <a:srgbClr val="F2F2F2"/>
      </a:accent5>
      <a:accent6>
        <a:srgbClr val="F2F2F2"/>
      </a:accent6>
      <a:hlink>
        <a:srgbClr val="00428B"/>
      </a:hlink>
      <a:folHlink>
        <a:srgbClr val="00428B"/>
      </a:folHlink>
    </a:clrScheme>
    <a:fontScheme name="Vinci_Polices">
      <a:majorFont>
        <a:latin typeface="Vinci Sans Medium"/>
        <a:ea typeface=""/>
        <a:cs typeface=""/>
      </a:majorFont>
      <a:minorFont>
        <a:latin typeface="Vinci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2B094F5475954A9B87A66F549733D4" ma:contentTypeVersion="14" ma:contentTypeDescription="Crée un document." ma:contentTypeScope="" ma:versionID="2edba905ca1a989a05dfcec0b2ade907">
  <xsd:schema xmlns:xsd="http://www.w3.org/2001/XMLSchema" xmlns:xs="http://www.w3.org/2001/XMLSchema" xmlns:p="http://schemas.microsoft.com/office/2006/metadata/properties" xmlns:ns2="fb9650f3-401e-4b48-b888-2746eb59304b" xmlns:ns3="a421a98c-d816-4179-8508-7101dea2fd56" xmlns:ns4="74f1fb1e-6439-4c41-8309-b7f1fea40f4d" targetNamespace="http://schemas.microsoft.com/office/2006/metadata/properties" ma:root="true" ma:fieldsID="3ee6350952d0520c805993c10a239c90" ns2:_="" ns3:_="" ns4:_="">
    <xsd:import namespace="fb9650f3-401e-4b48-b888-2746eb59304b"/>
    <xsd:import namespace="a421a98c-d816-4179-8508-7101dea2fd56"/>
    <xsd:import namespace="74f1fb1e-6439-4c41-8309-b7f1fea40f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650f3-401e-4b48-b888-2746eb5930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c7cd73fb-6322-44bd-abb5-95ed7e1229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1a98c-d816-4179-8508-7101dea2fd5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f1fb1e-6439-4c41-8309-b7f1fea40f4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82bb97c-8c65-4808-b3b1-710428d09d69}" ma:internalName="TaxCatchAll" ma:showField="CatchAllData" ma:web="a421a98c-d816-4179-8508-7101dea2fd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4f1fb1e-6439-4c41-8309-b7f1fea40f4d" xsi:nil="true"/>
    <lcf76f155ced4ddcb4097134ff3c332f xmlns="fb9650f3-401e-4b48-b888-2746eb59304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0F6848-F0BF-4B6B-9F43-5A8A7B565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650f3-401e-4b48-b888-2746eb59304b"/>
    <ds:schemaRef ds:uri="a421a98c-d816-4179-8508-7101dea2fd56"/>
    <ds:schemaRef ds:uri="74f1fb1e-6439-4c41-8309-b7f1fea40f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602E3-5BDF-469E-9189-A943486FBA71}">
  <ds:schemaRefs>
    <ds:schemaRef ds:uri="http://schemas.microsoft.com/office/2006/metadata/properties"/>
    <ds:schemaRef ds:uri="http://schemas.microsoft.com/office/infopath/2007/PartnerControls"/>
    <ds:schemaRef ds:uri="74f1fb1e-6439-4c41-8309-b7f1fea40f4d"/>
    <ds:schemaRef ds:uri="fb9650f3-401e-4b48-b888-2746eb59304b"/>
  </ds:schemaRefs>
</ds:datastoreItem>
</file>

<file path=customXml/itemProps3.xml><?xml version="1.0" encoding="utf-8"?>
<ds:datastoreItem xmlns:ds="http://schemas.openxmlformats.org/officeDocument/2006/customXml" ds:itemID="{6B2118FA-6357-47EA-9C59-6099C0EB78CF}">
  <ds:schemaRefs>
    <ds:schemaRef ds:uri="http://schemas.openxmlformats.org/officeDocument/2006/bibliography"/>
  </ds:schemaRefs>
</ds:datastoreItem>
</file>

<file path=customXml/itemProps4.xml><?xml version="1.0" encoding="utf-8"?>
<ds:datastoreItem xmlns:ds="http://schemas.openxmlformats.org/officeDocument/2006/customXml" ds:itemID="{40D617F4-8902-4F3B-BA6F-0F9454707C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745</Words>
  <Characters>4098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Communiqué de presse</vt:lpstr>
    </vt:vector>
  </TitlesOfParts>
  <Company>VINCI</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dc:title>
  <dc:subject/>
  <dc:creator>Microsoft Office User</dc:creator>
  <cp:keywords/>
  <dc:description/>
  <cp:lastModifiedBy>MAUREY Caroline</cp:lastModifiedBy>
  <cp:revision>25</cp:revision>
  <dcterms:created xsi:type="dcterms:W3CDTF">2023-07-03T12:21:00Z</dcterms:created>
  <dcterms:modified xsi:type="dcterms:W3CDTF">2023-07-11T09:19:00Z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0x01010067B04515CBD2CF4A9D51993B2FD13F7300999ED0F9047C6F4286FEDACE3B61CFCF</vt:lpwstr>
  </property>
  <property fmtid="{D5CDD505-2E9C-101B-9397-08002B2CF9AE}" pid="3" name="MediaServiceImageTags">
    <vt:lpwstr/>
  </property>
</Properties>
</file>